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99A1" w14:textId="5E6B2ED8" w:rsidR="004A46CD" w:rsidRPr="00884B8E" w:rsidRDefault="00897666" w:rsidP="005A33DD">
      <w:pPr>
        <w:spacing w:after="0"/>
        <w:jc w:val="center"/>
        <w:rPr>
          <w:rFonts w:ascii="Arial" w:eastAsia="Arial" w:hAnsi="Arial" w:cs="Arial"/>
          <w:b/>
          <w:sz w:val="28"/>
          <w:szCs w:val="28"/>
        </w:rPr>
      </w:pPr>
      <w:r w:rsidRPr="00884B8E">
        <w:rPr>
          <w:rFonts w:ascii="Arial" w:eastAsia="Arial" w:hAnsi="Arial" w:cs="Arial"/>
          <w:b/>
          <w:sz w:val="28"/>
          <w:szCs w:val="28"/>
        </w:rPr>
        <w:t>CANDIDATURAS E DESEMPENHO</w:t>
      </w:r>
      <w:r w:rsidR="004A46CD" w:rsidRPr="00884B8E">
        <w:rPr>
          <w:rFonts w:ascii="Arial" w:eastAsia="Arial" w:hAnsi="Arial" w:cs="Arial"/>
          <w:b/>
          <w:sz w:val="28"/>
          <w:szCs w:val="28"/>
        </w:rPr>
        <w:t xml:space="preserve"> ELEITORAL DAS MULHERES PARA A CÂMARA </w:t>
      </w:r>
      <w:r w:rsidR="003941B7">
        <w:rPr>
          <w:rFonts w:ascii="Arial" w:eastAsia="Arial" w:hAnsi="Arial" w:cs="Arial"/>
          <w:b/>
          <w:sz w:val="28"/>
          <w:szCs w:val="28"/>
        </w:rPr>
        <w:t>MUNICIPAL</w:t>
      </w:r>
      <w:r w:rsidRPr="00884B8E">
        <w:rPr>
          <w:rFonts w:ascii="Arial" w:eastAsia="Arial" w:hAnsi="Arial" w:cs="Arial"/>
          <w:b/>
          <w:sz w:val="28"/>
          <w:szCs w:val="28"/>
        </w:rPr>
        <w:t>:</w:t>
      </w:r>
      <w:r w:rsidR="004A46CD" w:rsidRPr="00884B8E">
        <w:rPr>
          <w:rFonts w:ascii="Arial" w:eastAsia="Arial" w:hAnsi="Arial" w:cs="Arial"/>
          <w:b/>
          <w:sz w:val="28"/>
          <w:szCs w:val="28"/>
        </w:rPr>
        <w:t xml:space="preserve"> O CASO DO PIAUÍ NA PANDEMIA DE COVID-19</w:t>
      </w:r>
    </w:p>
    <w:p w14:paraId="07E71ADE" w14:textId="52A04F5F" w:rsidR="002A2CCD" w:rsidRDefault="002A2CCD">
      <w:pPr>
        <w:spacing w:after="0"/>
        <w:jc w:val="right"/>
        <w:rPr>
          <w:rFonts w:ascii="Arial" w:eastAsia="Arial" w:hAnsi="Arial" w:cs="Arial"/>
          <w:sz w:val="24"/>
          <w:szCs w:val="24"/>
        </w:rPr>
      </w:pPr>
    </w:p>
    <w:p w14:paraId="6B11C993" w14:textId="77777777" w:rsidR="00F24376" w:rsidRDefault="00F24376">
      <w:pPr>
        <w:spacing w:after="0"/>
        <w:jc w:val="right"/>
        <w:rPr>
          <w:rFonts w:ascii="Arial" w:eastAsia="Arial" w:hAnsi="Arial" w:cs="Arial"/>
          <w:sz w:val="24"/>
          <w:szCs w:val="24"/>
        </w:rPr>
      </w:pPr>
    </w:p>
    <w:p w14:paraId="0E1508E5" w14:textId="34DDEB79" w:rsidR="00A9576E" w:rsidRDefault="00A9576E">
      <w:pPr>
        <w:spacing w:after="0"/>
        <w:jc w:val="right"/>
        <w:rPr>
          <w:rFonts w:ascii="Arial" w:eastAsia="Arial" w:hAnsi="Arial" w:cs="Arial"/>
          <w:sz w:val="24"/>
          <w:szCs w:val="24"/>
        </w:rPr>
      </w:pPr>
      <w:r>
        <w:rPr>
          <w:rFonts w:ascii="Arial" w:eastAsia="Arial" w:hAnsi="Arial" w:cs="Arial"/>
          <w:sz w:val="24"/>
          <w:szCs w:val="24"/>
        </w:rPr>
        <w:t>Bruno de Alcântara Conde da Silva</w:t>
      </w:r>
      <w:r>
        <w:rPr>
          <w:rStyle w:val="Refdenotaderodap"/>
          <w:rFonts w:ascii="Arial" w:eastAsia="Arial" w:hAnsi="Arial" w:cs="Arial"/>
          <w:sz w:val="24"/>
          <w:szCs w:val="24"/>
        </w:rPr>
        <w:footnoteReference w:id="1"/>
      </w:r>
    </w:p>
    <w:p w14:paraId="623ED84F" w14:textId="33C33EFC" w:rsidR="00A9576E" w:rsidRDefault="00A9576E">
      <w:pPr>
        <w:spacing w:after="0"/>
        <w:jc w:val="right"/>
        <w:rPr>
          <w:rFonts w:ascii="Arial" w:eastAsia="Arial" w:hAnsi="Arial" w:cs="Arial"/>
          <w:sz w:val="24"/>
          <w:szCs w:val="24"/>
        </w:rPr>
      </w:pPr>
      <w:r>
        <w:rPr>
          <w:rFonts w:ascii="Arial" w:eastAsia="Arial" w:hAnsi="Arial" w:cs="Arial"/>
          <w:sz w:val="24"/>
          <w:szCs w:val="24"/>
        </w:rPr>
        <w:t>José Diôgo Lima da Silva</w:t>
      </w:r>
      <w:r>
        <w:rPr>
          <w:rStyle w:val="Refdenotaderodap"/>
          <w:rFonts w:ascii="Arial" w:eastAsia="Arial" w:hAnsi="Arial" w:cs="Arial"/>
          <w:sz w:val="24"/>
          <w:szCs w:val="24"/>
        </w:rPr>
        <w:footnoteReference w:id="2"/>
      </w:r>
    </w:p>
    <w:p w14:paraId="76CB4757" w14:textId="3E81BD7E" w:rsidR="00A9576E" w:rsidRPr="00884B8E" w:rsidRDefault="00A9576E">
      <w:pPr>
        <w:spacing w:after="0"/>
        <w:jc w:val="right"/>
        <w:rPr>
          <w:rFonts w:ascii="Arial" w:eastAsia="Arial" w:hAnsi="Arial" w:cs="Arial"/>
          <w:sz w:val="24"/>
          <w:szCs w:val="24"/>
        </w:rPr>
      </w:pPr>
      <w:r>
        <w:rPr>
          <w:rFonts w:ascii="Arial" w:eastAsia="Arial" w:hAnsi="Arial" w:cs="Arial"/>
          <w:sz w:val="24"/>
          <w:szCs w:val="24"/>
        </w:rPr>
        <w:t>Rafael Barros Sampaio</w:t>
      </w:r>
      <w:r w:rsidR="00C56DCA">
        <w:rPr>
          <w:rStyle w:val="Refdenotaderodap"/>
          <w:rFonts w:ascii="Arial" w:eastAsia="Arial" w:hAnsi="Arial" w:cs="Arial"/>
          <w:sz w:val="24"/>
          <w:szCs w:val="24"/>
        </w:rPr>
        <w:footnoteReference w:id="3"/>
      </w:r>
    </w:p>
    <w:p w14:paraId="47FE5A17" w14:textId="77777777" w:rsidR="002A2CCD" w:rsidRPr="00884B8E" w:rsidRDefault="002A2CCD">
      <w:pPr>
        <w:rPr>
          <w:rFonts w:ascii="Arial" w:eastAsia="Arial" w:hAnsi="Arial" w:cs="Arial"/>
          <w:sz w:val="24"/>
          <w:szCs w:val="24"/>
        </w:rPr>
      </w:pPr>
    </w:p>
    <w:p w14:paraId="03D2FAFA" w14:textId="77777777" w:rsidR="002A2CCD" w:rsidRPr="00884B8E" w:rsidRDefault="00897666">
      <w:pPr>
        <w:jc w:val="both"/>
        <w:rPr>
          <w:rFonts w:ascii="Arial" w:eastAsia="Arial" w:hAnsi="Arial" w:cs="Arial"/>
          <w:b/>
          <w:sz w:val="24"/>
          <w:szCs w:val="24"/>
        </w:rPr>
      </w:pPr>
      <w:r w:rsidRPr="00884B8E">
        <w:rPr>
          <w:rFonts w:ascii="Arial" w:eastAsia="Arial" w:hAnsi="Arial" w:cs="Arial"/>
          <w:b/>
          <w:sz w:val="24"/>
          <w:szCs w:val="24"/>
        </w:rPr>
        <w:t>RESUMO</w:t>
      </w:r>
    </w:p>
    <w:p w14:paraId="47D81A25" w14:textId="7B6A0B46" w:rsidR="00201045" w:rsidRPr="00E92F0C" w:rsidRDefault="001062CB" w:rsidP="00201045">
      <w:pPr>
        <w:pStyle w:val="NormalWeb"/>
        <w:jc w:val="both"/>
        <w:rPr>
          <w:rFonts w:ascii="Arial" w:hAnsi="Arial" w:cs="Arial"/>
        </w:rPr>
      </w:pPr>
      <w:r w:rsidRPr="00884B8E">
        <w:rPr>
          <w:rFonts w:ascii="Arial" w:hAnsi="Arial" w:cs="Arial"/>
        </w:rPr>
        <w:t>O presente artigo visa trazer uma reflexão sobre a participação feminina nas eleições municipais para vereadoras em 2020. As eleições de 2020 são marcadas por um contexto novo</w:t>
      </w:r>
      <w:r w:rsidR="00BE091D" w:rsidRPr="00884B8E">
        <w:rPr>
          <w:rFonts w:ascii="Arial" w:hAnsi="Arial" w:cs="Arial"/>
        </w:rPr>
        <w:t>,</w:t>
      </w:r>
      <w:r w:rsidRPr="00884B8E">
        <w:rPr>
          <w:rFonts w:ascii="Arial" w:hAnsi="Arial" w:cs="Arial"/>
        </w:rPr>
        <w:t xml:space="preserve"> que modifica sentimentos, interesses e participação efetiva sobre o ideal de votação: a pandemia de Covid-19. Nesse sentido, a presente pesquisa busca responder à seguinte problemática: qual é a efetividade de candidaturas e votação feminina no estado do Piauí para o cargo de vereadora em 2020? Essa resposta surge como um importante elemento investigativo e a escolha de apenas uma unidade federativa permite uma análise mais localizada e aprofundada sobre o fenômeno. Trata-se de uma pesquisa descritiva realizada por meio de uma análise quantitativa. Para isso, são analisados os dados disponibilizados no repositório do Tribunal Superior Eleitoral (TSE) em todas as cidades do Piauí, por meio de um comparativo entre as eleições municipais de 2016 e 2020. O Piauí é um dos estados com menor representação feminina em cargos políticos, o que oferece um cenário específico para estudos sobre desigualdade de gênero, representação política e voto feminino. </w:t>
      </w:r>
      <w:r w:rsidR="00201045" w:rsidRPr="00884B8E">
        <w:rPr>
          <w:rFonts w:ascii="Arial" w:hAnsi="Arial" w:cs="Arial"/>
        </w:rPr>
        <w:t xml:space="preserve">Os resultados encontrados apontam para um descompasso entre a participação feminina nas urnas, o número de candidaturas e o quantitativo de mulheres eleitas nos municípios piauienses. Observou-se aumento nas candidaturas femininas, </w:t>
      </w:r>
      <w:r w:rsidR="00BE091D" w:rsidRPr="00884B8E">
        <w:rPr>
          <w:rFonts w:ascii="Arial" w:hAnsi="Arial" w:cs="Arial"/>
        </w:rPr>
        <w:t xml:space="preserve">o </w:t>
      </w:r>
      <w:r w:rsidR="00201045" w:rsidRPr="00884B8E">
        <w:rPr>
          <w:rFonts w:ascii="Arial" w:hAnsi="Arial" w:cs="Arial"/>
        </w:rPr>
        <w:t>que, contudo, não se traduziu em maior proporção de mulheres eleitas, refletindo uma realidade presente tanto no contexto nacional quanto no estado do Piauí</w:t>
      </w:r>
      <w:r w:rsidR="005B556E" w:rsidRPr="00884B8E">
        <w:rPr>
          <w:rFonts w:ascii="Arial" w:hAnsi="Arial" w:cs="Arial"/>
        </w:rPr>
        <w:t>.</w:t>
      </w:r>
    </w:p>
    <w:p w14:paraId="7C2FB698" w14:textId="5A8BFF90" w:rsidR="002A2CCD" w:rsidRPr="00884B8E" w:rsidRDefault="00897666" w:rsidP="00201045">
      <w:pPr>
        <w:pStyle w:val="NormalWeb"/>
        <w:jc w:val="both"/>
        <w:rPr>
          <w:rFonts w:ascii="Arial" w:eastAsia="Arial" w:hAnsi="Arial" w:cs="Arial"/>
        </w:rPr>
      </w:pPr>
      <w:r w:rsidRPr="00884B8E">
        <w:rPr>
          <w:rFonts w:ascii="Arial" w:eastAsia="Arial" w:hAnsi="Arial" w:cs="Arial"/>
          <w:b/>
        </w:rPr>
        <w:t>Palavras-chave:</w:t>
      </w:r>
      <w:r w:rsidRPr="00884B8E">
        <w:rPr>
          <w:rFonts w:ascii="Arial" w:eastAsia="Arial" w:hAnsi="Arial" w:cs="Arial"/>
        </w:rPr>
        <w:t xml:space="preserve"> Eleições municipais</w:t>
      </w:r>
      <w:r w:rsidR="003023AF" w:rsidRPr="00884B8E">
        <w:rPr>
          <w:rFonts w:ascii="Arial" w:eastAsia="Arial" w:hAnsi="Arial" w:cs="Arial"/>
        </w:rPr>
        <w:t>;</w:t>
      </w:r>
      <w:r w:rsidRPr="00884B8E">
        <w:rPr>
          <w:rFonts w:ascii="Arial" w:eastAsia="Arial" w:hAnsi="Arial" w:cs="Arial"/>
        </w:rPr>
        <w:t xml:space="preserve"> Pandemia</w:t>
      </w:r>
      <w:r w:rsidR="003023AF" w:rsidRPr="00884B8E">
        <w:rPr>
          <w:rFonts w:ascii="Arial" w:eastAsia="Arial" w:hAnsi="Arial" w:cs="Arial"/>
        </w:rPr>
        <w:t>;</w:t>
      </w:r>
      <w:r w:rsidRPr="00884B8E">
        <w:rPr>
          <w:rFonts w:ascii="Arial" w:eastAsia="Arial" w:hAnsi="Arial" w:cs="Arial"/>
        </w:rPr>
        <w:t xml:space="preserve"> Representação</w:t>
      </w:r>
      <w:r w:rsidR="008C0B6E" w:rsidRPr="00884B8E">
        <w:rPr>
          <w:rFonts w:ascii="Arial" w:eastAsia="Arial" w:hAnsi="Arial" w:cs="Arial"/>
        </w:rPr>
        <w:t>;</w:t>
      </w:r>
      <w:r w:rsidRPr="00884B8E">
        <w:rPr>
          <w:rFonts w:ascii="Arial" w:eastAsia="Arial" w:hAnsi="Arial" w:cs="Arial"/>
        </w:rPr>
        <w:t xml:space="preserve"> Vereadores.</w:t>
      </w:r>
    </w:p>
    <w:p w14:paraId="1C250EF5" w14:textId="77777777" w:rsidR="008F6498" w:rsidRPr="00884B8E" w:rsidRDefault="008F6498">
      <w:pPr>
        <w:rPr>
          <w:rFonts w:ascii="Arial" w:eastAsia="Arial" w:hAnsi="Arial" w:cs="Arial"/>
          <w:b/>
          <w:sz w:val="24"/>
          <w:szCs w:val="24"/>
        </w:rPr>
      </w:pPr>
    </w:p>
    <w:p w14:paraId="4D7CE353" w14:textId="77777777" w:rsidR="002A2CCD" w:rsidRPr="00884B8E" w:rsidRDefault="00897666">
      <w:pPr>
        <w:spacing w:after="0"/>
        <w:rPr>
          <w:rFonts w:ascii="Arial" w:eastAsia="Arial" w:hAnsi="Arial" w:cs="Arial"/>
          <w:b/>
          <w:sz w:val="24"/>
          <w:szCs w:val="24"/>
        </w:rPr>
      </w:pPr>
      <w:r w:rsidRPr="00884B8E">
        <w:rPr>
          <w:rFonts w:ascii="Arial" w:eastAsia="Arial" w:hAnsi="Arial" w:cs="Arial"/>
          <w:b/>
          <w:sz w:val="24"/>
          <w:szCs w:val="24"/>
        </w:rPr>
        <w:t>INTRODUÇÃO</w:t>
      </w:r>
    </w:p>
    <w:p w14:paraId="4B29B59A" w14:textId="77777777" w:rsidR="002A2CCD" w:rsidRPr="00884B8E" w:rsidRDefault="002A2CCD">
      <w:pPr>
        <w:spacing w:after="0"/>
        <w:rPr>
          <w:rFonts w:ascii="Arial" w:eastAsia="Arial" w:hAnsi="Arial" w:cs="Arial"/>
          <w:b/>
          <w:sz w:val="24"/>
          <w:szCs w:val="24"/>
        </w:rPr>
      </w:pPr>
    </w:p>
    <w:p w14:paraId="1A28B59B" w14:textId="77777777" w:rsidR="002A2CCD" w:rsidRPr="00884B8E" w:rsidRDefault="002A2CCD">
      <w:pPr>
        <w:spacing w:after="0"/>
        <w:rPr>
          <w:rFonts w:ascii="Arial" w:eastAsia="Arial" w:hAnsi="Arial" w:cs="Arial"/>
          <w:b/>
          <w:sz w:val="24"/>
          <w:szCs w:val="24"/>
        </w:rPr>
      </w:pPr>
    </w:p>
    <w:p w14:paraId="26CBBAED" w14:textId="77777777" w:rsidR="002A2CCD" w:rsidRPr="00884B8E" w:rsidRDefault="00897666">
      <w:pPr>
        <w:spacing w:after="0" w:line="360" w:lineRule="auto"/>
        <w:jc w:val="both"/>
        <w:rPr>
          <w:rFonts w:ascii="Arial" w:eastAsia="Arial" w:hAnsi="Arial" w:cs="Arial"/>
          <w:sz w:val="24"/>
          <w:szCs w:val="24"/>
        </w:rPr>
      </w:pPr>
      <w:r w:rsidRPr="00884B8E">
        <w:rPr>
          <w:rFonts w:ascii="Arial" w:eastAsia="Arial" w:hAnsi="Arial" w:cs="Arial"/>
          <w:sz w:val="24"/>
          <w:szCs w:val="24"/>
        </w:rPr>
        <w:tab/>
        <w:t xml:space="preserve">A representação e participação feminina na arena política já se tornou objeto canônico na ciência política contemporânea, sobretudo no que diz respeito à natureza dos regimes democráticos e do quão representativo e democrático esses regimes se </w:t>
      </w:r>
      <w:r w:rsidRPr="00884B8E">
        <w:rPr>
          <w:rFonts w:ascii="Arial" w:eastAsia="Arial" w:hAnsi="Arial" w:cs="Arial"/>
          <w:sz w:val="24"/>
          <w:szCs w:val="24"/>
        </w:rPr>
        <w:lastRenderedPageBreak/>
        <w:t xml:space="preserve">propõem a ser. Nos trabalhos de Lijphart (2003, 1999), o autor sustenta o argumento de que um importante indicador para a qualidade da democracia é justamente a taxa de participação das mulheres nos parlamentos. </w:t>
      </w:r>
    </w:p>
    <w:p w14:paraId="70CED1BD" w14:textId="669F5C61"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No debate político contemporâneo focado na participação política das mulheres, existem basicamente duas vertentes distintas</w:t>
      </w:r>
      <w:r w:rsidR="00BE091D" w:rsidRPr="00884B8E">
        <w:rPr>
          <w:rFonts w:ascii="Arial" w:eastAsia="Arial" w:hAnsi="Arial" w:cs="Arial"/>
          <w:sz w:val="24"/>
          <w:szCs w:val="24"/>
        </w:rPr>
        <w:t>,</w:t>
      </w:r>
      <w:r w:rsidRPr="00884B8E">
        <w:rPr>
          <w:rFonts w:ascii="Arial" w:eastAsia="Arial" w:hAnsi="Arial" w:cs="Arial"/>
          <w:sz w:val="24"/>
          <w:szCs w:val="24"/>
        </w:rPr>
        <w:t xml:space="preserve"> com dois argumentos principais que norteiam os estudos teóricos e empíricos sobre o tema. O primeiro diz respeito a uma questão de justiça ou de reconhecimento</w:t>
      </w:r>
      <w:r w:rsidR="00BE091D" w:rsidRPr="00884B8E">
        <w:rPr>
          <w:rFonts w:ascii="Arial" w:eastAsia="Arial" w:hAnsi="Arial" w:cs="Arial"/>
          <w:sz w:val="24"/>
          <w:szCs w:val="24"/>
        </w:rPr>
        <w:t>. S</w:t>
      </w:r>
      <w:r w:rsidRPr="00884B8E">
        <w:rPr>
          <w:rFonts w:ascii="Arial" w:eastAsia="Arial" w:hAnsi="Arial" w:cs="Arial"/>
          <w:sz w:val="24"/>
          <w:szCs w:val="24"/>
        </w:rPr>
        <w:t>egundo esse argumento</w:t>
      </w:r>
      <w:r w:rsidR="00BE091D" w:rsidRPr="00884B8E">
        <w:rPr>
          <w:rFonts w:ascii="Arial" w:eastAsia="Arial" w:hAnsi="Arial" w:cs="Arial"/>
          <w:sz w:val="24"/>
          <w:szCs w:val="24"/>
        </w:rPr>
        <w:t>,</w:t>
      </w:r>
      <w:r w:rsidRPr="00884B8E">
        <w:rPr>
          <w:rFonts w:ascii="Arial" w:eastAsia="Arial" w:hAnsi="Arial" w:cs="Arial"/>
          <w:sz w:val="24"/>
          <w:szCs w:val="24"/>
        </w:rPr>
        <w:t xml:space="preserve"> as instituições não são neutras</w:t>
      </w:r>
      <w:r w:rsidR="00BE091D" w:rsidRPr="00884B8E">
        <w:rPr>
          <w:rFonts w:ascii="Arial" w:eastAsia="Arial" w:hAnsi="Arial" w:cs="Arial"/>
          <w:sz w:val="24"/>
          <w:szCs w:val="24"/>
        </w:rPr>
        <w:t xml:space="preserve"> e têm</w:t>
      </w:r>
      <w:r w:rsidRPr="00884B8E">
        <w:rPr>
          <w:rFonts w:ascii="Arial" w:eastAsia="Arial" w:hAnsi="Arial" w:cs="Arial"/>
          <w:sz w:val="24"/>
          <w:szCs w:val="24"/>
        </w:rPr>
        <w:t xml:space="preserve"> vieses ou incentivos que fazem com que determinados resultados sejam mais propensos do que outros. No caso</w:t>
      </w:r>
      <w:r w:rsidR="00BE091D" w:rsidRPr="00884B8E">
        <w:rPr>
          <w:rFonts w:ascii="Arial" w:eastAsia="Arial" w:hAnsi="Arial" w:cs="Arial"/>
          <w:sz w:val="24"/>
          <w:szCs w:val="24"/>
        </w:rPr>
        <w:t>,</w:t>
      </w:r>
      <w:r w:rsidRPr="00884B8E">
        <w:rPr>
          <w:rFonts w:ascii="Arial" w:eastAsia="Arial" w:hAnsi="Arial" w:cs="Arial"/>
          <w:sz w:val="24"/>
          <w:szCs w:val="24"/>
        </w:rPr>
        <w:t xml:space="preserve"> a maior presença e representatividade masculina em detrimento da feminina (</w:t>
      </w:r>
      <w:r w:rsidR="00F774CD" w:rsidRPr="00884B8E">
        <w:rPr>
          <w:rFonts w:ascii="Arial" w:eastAsia="Arial" w:hAnsi="Arial" w:cs="Arial"/>
          <w:sz w:val="24"/>
          <w:szCs w:val="24"/>
        </w:rPr>
        <w:t>Moisés; Sanchez</w:t>
      </w:r>
      <w:r w:rsidR="00504435" w:rsidRPr="00884B8E">
        <w:rPr>
          <w:rFonts w:ascii="Arial" w:eastAsia="Arial" w:hAnsi="Arial" w:cs="Arial"/>
          <w:sz w:val="24"/>
          <w:szCs w:val="24"/>
        </w:rPr>
        <w:t xml:space="preserve">, 2014).  </w:t>
      </w:r>
    </w:p>
    <w:p w14:paraId="51B49F96" w14:textId="1135DCBB" w:rsidR="00282D03"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A segunda vertente argumenta acerca do comprometimento e da eficácia das instituições políticas, com</w:t>
      </w:r>
      <w:r w:rsidR="00211F1E" w:rsidRPr="00884B8E">
        <w:rPr>
          <w:rFonts w:ascii="Arial" w:eastAsia="Arial" w:hAnsi="Arial" w:cs="Arial"/>
          <w:sz w:val="24"/>
          <w:szCs w:val="24"/>
        </w:rPr>
        <w:t>o</w:t>
      </w:r>
      <w:r w:rsidRPr="00884B8E">
        <w:rPr>
          <w:rFonts w:ascii="Arial" w:eastAsia="Arial" w:hAnsi="Arial" w:cs="Arial"/>
          <w:sz w:val="24"/>
          <w:szCs w:val="24"/>
        </w:rPr>
        <w:t xml:space="preserve"> os parlamentos e partidos políticos, em detrimento da exclusão da participação feminina, que na maioria dos estados considerados correspondem a 50% ou mais da população. </w:t>
      </w:r>
      <w:r w:rsidR="00282D03" w:rsidRPr="00884B8E">
        <w:rPr>
          <w:rFonts w:ascii="Arial" w:eastAsia="Arial" w:hAnsi="Arial" w:cs="Arial"/>
          <w:sz w:val="24"/>
          <w:szCs w:val="24"/>
        </w:rPr>
        <w:t>Essa observação de uma exclusão feminina do sistema pode trazer indagações não somente sobre o desempenho das instituições, mas também das instituições democráticas representativas</w:t>
      </w:r>
      <w:r w:rsidR="00504435" w:rsidRPr="00884B8E">
        <w:rPr>
          <w:rFonts w:ascii="Arial" w:eastAsia="Arial" w:hAnsi="Arial" w:cs="Arial"/>
          <w:sz w:val="24"/>
          <w:szCs w:val="24"/>
        </w:rPr>
        <w:t xml:space="preserve"> </w:t>
      </w:r>
      <w:r w:rsidR="00282D03" w:rsidRPr="00884B8E">
        <w:rPr>
          <w:rFonts w:ascii="Arial" w:eastAsia="Arial" w:hAnsi="Arial" w:cs="Arial"/>
          <w:sz w:val="24"/>
          <w:szCs w:val="24"/>
        </w:rPr>
        <w:t>(</w:t>
      </w:r>
      <w:r w:rsidR="00F774CD" w:rsidRPr="00884B8E">
        <w:rPr>
          <w:rFonts w:ascii="Arial" w:eastAsia="Arial" w:hAnsi="Arial" w:cs="Arial"/>
          <w:sz w:val="24"/>
          <w:szCs w:val="24"/>
        </w:rPr>
        <w:t>Moisés; Sanchez, 2014).</w:t>
      </w:r>
    </w:p>
    <w:p w14:paraId="4AAA6E73" w14:textId="5EC52F57"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A política de presença (</w:t>
      </w:r>
      <w:r w:rsidR="00F774CD" w:rsidRPr="00884B8E">
        <w:rPr>
          <w:rFonts w:ascii="Arial" w:eastAsia="Arial" w:hAnsi="Arial" w:cs="Arial"/>
          <w:sz w:val="24"/>
          <w:szCs w:val="24"/>
        </w:rPr>
        <w:t>Phillips, 1995</w:t>
      </w:r>
      <w:r w:rsidRPr="00884B8E">
        <w:rPr>
          <w:rFonts w:ascii="Arial" w:eastAsia="Arial" w:hAnsi="Arial" w:cs="Arial"/>
          <w:sz w:val="24"/>
          <w:szCs w:val="24"/>
        </w:rPr>
        <w:t>) e a política de representação de grupos (</w:t>
      </w:r>
      <w:r w:rsidR="00F774CD" w:rsidRPr="00884B8E">
        <w:rPr>
          <w:rFonts w:ascii="Arial" w:eastAsia="Arial" w:hAnsi="Arial" w:cs="Arial"/>
          <w:sz w:val="24"/>
          <w:szCs w:val="24"/>
        </w:rPr>
        <w:t>Young, 2000</w:t>
      </w:r>
      <w:r w:rsidRPr="00884B8E">
        <w:rPr>
          <w:rFonts w:ascii="Arial" w:eastAsia="Arial" w:hAnsi="Arial" w:cs="Arial"/>
          <w:sz w:val="24"/>
          <w:szCs w:val="24"/>
        </w:rPr>
        <w:t>) defendem uma perspectiva representativa que transcende a ideia inicial de representação descritiva ou simbólica</w:t>
      </w:r>
      <w:r w:rsidR="00BE091D" w:rsidRPr="00884B8E">
        <w:rPr>
          <w:rFonts w:ascii="Arial" w:eastAsia="Arial" w:hAnsi="Arial" w:cs="Arial"/>
          <w:sz w:val="24"/>
          <w:szCs w:val="24"/>
        </w:rPr>
        <w:t>. T</w:t>
      </w:r>
      <w:r w:rsidR="005D7B6A" w:rsidRPr="00884B8E">
        <w:rPr>
          <w:rFonts w:ascii="Arial" w:eastAsia="Arial" w:hAnsi="Arial" w:cs="Arial"/>
          <w:sz w:val="24"/>
          <w:szCs w:val="24"/>
        </w:rPr>
        <w:t>r</w:t>
      </w:r>
      <w:r w:rsidR="00BE091D" w:rsidRPr="00884B8E">
        <w:rPr>
          <w:rFonts w:ascii="Arial" w:eastAsia="Arial" w:hAnsi="Arial" w:cs="Arial"/>
          <w:sz w:val="24"/>
          <w:szCs w:val="24"/>
        </w:rPr>
        <w:t>ata-se de</w:t>
      </w:r>
      <w:r w:rsidRPr="00884B8E">
        <w:rPr>
          <w:rFonts w:ascii="Arial" w:eastAsia="Arial" w:hAnsi="Arial" w:cs="Arial"/>
          <w:sz w:val="24"/>
          <w:szCs w:val="24"/>
        </w:rPr>
        <w:t xml:space="preserve"> um conceito mais pleno de representação substantiva de mulheres nas instituições formais como parlamentos e outros cargos de representação pública. Essa ideia de representação substantiva teria impacto cultural e civilizatório mais profundo na sociedade civil e suas instituições informais, reformulando e valorizando todo o papel de gênero e lugar da mulher na sociedade, cultura e política das sociedade</w:t>
      </w:r>
      <w:r w:rsidR="005D7B6A" w:rsidRPr="00884B8E">
        <w:rPr>
          <w:rFonts w:ascii="Arial" w:eastAsia="Arial" w:hAnsi="Arial" w:cs="Arial"/>
          <w:sz w:val="24"/>
          <w:szCs w:val="24"/>
        </w:rPr>
        <w:t>s</w:t>
      </w:r>
      <w:r w:rsidRPr="00884B8E">
        <w:rPr>
          <w:rFonts w:ascii="Arial" w:eastAsia="Arial" w:hAnsi="Arial" w:cs="Arial"/>
          <w:sz w:val="24"/>
          <w:szCs w:val="24"/>
        </w:rPr>
        <w:t xml:space="preserve"> contemporâneas.</w:t>
      </w:r>
    </w:p>
    <w:p w14:paraId="075C0972" w14:textId="5CEFDF09"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A partir disto, a sub-representação feminina, em especial a que ocorre nas instituições políticas (parlamentos, ministérios, partidos políticos, entre outros)</w:t>
      </w:r>
      <w:r w:rsidR="00BE091D" w:rsidRPr="00884B8E">
        <w:rPr>
          <w:rFonts w:ascii="Arial" w:eastAsia="Arial" w:hAnsi="Arial" w:cs="Arial"/>
          <w:sz w:val="24"/>
          <w:szCs w:val="24"/>
        </w:rPr>
        <w:t>,</w:t>
      </w:r>
      <w:r w:rsidRPr="00884B8E">
        <w:rPr>
          <w:rFonts w:ascii="Arial" w:eastAsia="Arial" w:hAnsi="Arial" w:cs="Arial"/>
          <w:sz w:val="24"/>
          <w:szCs w:val="24"/>
        </w:rPr>
        <w:t xml:space="preserve"> passou a ser compreendida como um indicador importante para a qualidade da democracia e sua ausência como um claro déficit democrático dos regimes existentes, sendo essencial para a consolidação </w:t>
      </w:r>
      <w:r w:rsidR="00BE091D" w:rsidRPr="00884B8E">
        <w:rPr>
          <w:rFonts w:ascii="Arial" w:eastAsia="Arial" w:hAnsi="Arial" w:cs="Arial"/>
          <w:sz w:val="24"/>
          <w:szCs w:val="24"/>
        </w:rPr>
        <w:t>dela</w:t>
      </w:r>
      <w:r w:rsidRPr="00884B8E">
        <w:rPr>
          <w:rFonts w:ascii="Arial" w:eastAsia="Arial" w:hAnsi="Arial" w:cs="Arial"/>
          <w:sz w:val="24"/>
          <w:szCs w:val="24"/>
        </w:rPr>
        <w:t xml:space="preserve"> </w:t>
      </w:r>
      <w:r w:rsidR="00F774CD" w:rsidRPr="00884B8E">
        <w:rPr>
          <w:rFonts w:ascii="Arial" w:eastAsia="Arial" w:hAnsi="Arial" w:cs="Arial"/>
          <w:sz w:val="24"/>
          <w:szCs w:val="24"/>
        </w:rPr>
        <w:t xml:space="preserve">(Moisés; Sanchez, </w:t>
      </w:r>
      <w:r w:rsidRPr="00884B8E">
        <w:rPr>
          <w:rFonts w:ascii="Arial" w:eastAsia="Arial" w:hAnsi="Arial" w:cs="Arial"/>
          <w:sz w:val="24"/>
          <w:szCs w:val="24"/>
        </w:rPr>
        <w:t>2014).</w:t>
      </w:r>
    </w:p>
    <w:p w14:paraId="70E321D1" w14:textId="66F18CEB"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 xml:space="preserve">O caso </w:t>
      </w:r>
      <w:r w:rsidR="00BE091D" w:rsidRPr="00884B8E">
        <w:rPr>
          <w:rFonts w:ascii="Arial" w:eastAsia="Arial" w:hAnsi="Arial" w:cs="Arial"/>
          <w:sz w:val="24"/>
          <w:szCs w:val="24"/>
        </w:rPr>
        <w:t xml:space="preserve">brasileiro </w:t>
      </w:r>
      <w:r w:rsidRPr="00884B8E">
        <w:rPr>
          <w:rFonts w:ascii="Arial" w:eastAsia="Arial" w:hAnsi="Arial" w:cs="Arial"/>
          <w:sz w:val="24"/>
          <w:szCs w:val="24"/>
        </w:rPr>
        <w:t xml:space="preserve">vivenciou contemporaneamente uma progressão significativa no debate público relacionado às questões de igualdade de gêneros, que perpassam vários âmbitos da sociedade, muito embora ainda seja considerado insuficiente. </w:t>
      </w:r>
      <w:r w:rsidRPr="00884B8E">
        <w:rPr>
          <w:rFonts w:ascii="Arial" w:eastAsia="Arial" w:hAnsi="Arial" w:cs="Arial"/>
          <w:sz w:val="24"/>
          <w:szCs w:val="24"/>
        </w:rPr>
        <w:lastRenderedPageBreak/>
        <w:t xml:space="preserve">Segundo dados da </w:t>
      </w:r>
      <w:proofErr w:type="gramStart"/>
      <w:r w:rsidRPr="00884B8E">
        <w:rPr>
          <w:rFonts w:ascii="Arial" w:eastAsia="Arial" w:hAnsi="Arial" w:cs="Arial"/>
          <w:sz w:val="24"/>
          <w:szCs w:val="24"/>
        </w:rPr>
        <w:t xml:space="preserve">publicação </w:t>
      </w:r>
      <w:r w:rsidRPr="00884B8E">
        <w:rPr>
          <w:rFonts w:ascii="Arial" w:eastAsia="Arial" w:hAnsi="Arial" w:cs="Arial"/>
          <w:i/>
          <w:sz w:val="24"/>
          <w:szCs w:val="24"/>
        </w:rPr>
        <w:t>Criando</w:t>
      </w:r>
      <w:proofErr w:type="gramEnd"/>
      <w:r w:rsidRPr="00884B8E">
        <w:rPr>
          <w:rFonts w:ascii="Arial" w:eastAsia="Arial" w:hAnsi="Arial" w:cs="Arial"/>
          <w:i/>
          <w:sz w:val="24"/>
          <w:szCs w:val="24"/>
        </w:rPr>
        <w:t xml:space="preserve"> </w:t>
      </w:r>
      <w:r w:rsidR="00BE091D" w:rsidRPr="00884B8E">
        <w:rPr>
          <w:rFonts w:ascii="Arial" w:eastAsia="Arial" w:hAnsi="Arial" w:cs="Arial"/>
          <w:i/>
          <w:sz w:val="24"/>
          <w:szCs w:val="24"/>
        </w:rPr>
        <w:t xml:space="preserve">sinergias </w:t>
      </w:r>
      <w:r w:rsidRPr="00884B8E">
        <w:rPr>
          <w:rFonts w:ascii="Arial" w:eastAsia="Arial" w:hAnsi="Arial" w:cs="Arial"/>
          <w:i/>
          <w:sz w:val="24"/>
          <w:szCs w:val="24"/>
        </w:rPr>
        <w:t xml:space="preserve">entre a </w:t>
      </w:r>
      <w:r w:rsidR="00BE091D" w:rsidRPr="00884B8E">
        <w:rPr>
          <w:rFonts w:ascii="Arial" w:eastAsia="Arial" w:hAnsi="Arial" w:cs="Arial"/>
          <w:i/>
          <w:sz w:val="24"/>
          <w:szCs w:val="24"/>
        </w:rPr>
        <w:t xml:space="preserve">agenda </w:t>
      </w:r>
      <w:r w:rsidRPr="00884B8E">
        <w:rPr>
          <w:rFonts w:ascii="Arial" w:eastAsia="Arial" w:hAnsi="Arial" w:cs="Arial"/>
          <w:i/>
          <w:sz w:val="24"/>
          <w:szCs w:val="24"/>
        </w:rPr>
        <w:t xml:space="preserve">2030 e o G20 </w:t>
      </w:r>
      <w:r w:rsidR="00BE091D" w:rsidRPr="00884B8E">
        <w:rPr>
          <w:rFonts w:ascii="Arial" w:eastAsia="Arial" w:hAnsi="Arial" w:cs="Arial"/>
          <w:i/>
          <w:sz w:val="24"/>
          <w:szCs w:val="24"/>
        </w:rPr>
        <w:t>– caderno d</w:t>
      </w:r>
      <w:r w:rsidRPr="00884B8E">
        <w:rPr>
          <w:rFonts w:ascii="Arial" w:eastAsia="Arial" w:hAnsi="Arial" w:cs="Arial"/>
          <w:i/>
          <w:sz w:val="24"/>
          <w:szCs w:val="24"/>
        </w:rPr>
        <w:t xml:space="preserve">esigualdades, </w:t>
      </w:r>
      <w:r w:rsidRPr="00884B8E">
        <w:rPr>
          <w:rFonts w:ascii="Arial" w:eastAsia="Arial" w:hAnsi="Arial" w:cs="Arial"/>
          <w:sz w:val="24"/>
          <w:szCs w:val="24"/>
        </w:rPr>
        <w:t>redigido pelo Instituto Brasileiro de Geografia e Estatística (IBGE), o Brasil tem a segunda pior taxa de representatividade parlamentar feminina entre os países do G20, com 14,81% de ocupação feminina nos assentos dos parlamentos nacionais</w:t>
      </w:r>
      <w:r w:rsidR="00BE091D" w:rsidRPr="00884B8E">
        <w:rPr>
          <w:rFonts w:ascii="Arial" w:eastAsia="Arial" w:hAnsi="Arial" w:cs="Arial"/>
          <w:sz w:val="24"/>
          <w:szCs w:val="24"/>
        </w:rPr>
        <w:t>,</w:t>
      </w:r>
      <w:r w:rsidRPr="00884B8E">
        <w:rPr>
          <w:rFonts w:ascii="Arial" w:eastAsia="Arial" w:hAnsi="Arial" w:cs="Arial"/>
          <w:sz w:val="24"/>
          <w:szCs w:val="24"/>
        </w:rPr>
        <w:t xml:space="preserve"> ficando </w:t>
      </w:r>
      <w:r w:rsidR="00BE091D" w:rsidRPr="00884B8E">
        <w:rPr>
          <w:rFonts w:ascii="Arial" w:eastAsia="Arial" w:hAnsi="Arial" w:cs="Arial"/>
          <w:sz w:val="24"/>
          <w:szCs w:val="24"/>
        </w:rPr>
        <w:t xml:space="preserve">à </w:t>
      </w:r>
      <w:r w:rsidRPr="00884B8E">
        <w:rPr>
          <w:rFonts w:ascii="Arial" w:eastAsia="Arial" w:hAnsi="Arial" w:cs="Arial"/>
          <w:sz w:val="24"/>
          <w:szCs w:val="24"/>
        </w:rPr>
        <w:t>frente apenas do Japão</w:t>
      </w:r>
      <w:r w:rsidR="00BE091D" w:rsidRPr="00884B8E">
        <w:rPr>
          <w:rFonts w:ascii="Arial" w:eastAsia="Arial" w:hAnsi="Arial" w:cs="Arial"/>
          <w:sz w:val="24"/>
          <w:szCs w:val="24"/>
        </w:rPr>
        <w:t>,</w:t>
      </w:r>
      <w:r w:rsidRPr="00884B8E">
        <w:rPr>
          <w:rFonts w:ascii="Arial" w:eastAsia="Arial" w:hAnsi="Arial" w:cs="Arial"/>
          <w:sz w:val="24"/>
          <w:szCs w:val="24"/>
        </w:rPr>
        <w:t xml:space="preserve"> com 9,68% (</w:t>
      </w:r>
      <w:r w:rsidR="00F774CD" w:rsidRPr="00884B8E">
        <w:rPr>
          <w:rFonts w:ascii="Arial" w:eastAsia="Arial" w:hAnsi="Arial" w:cs="Arial"/>
          <w:sz w:val="24"/>
          <w:szCs w:val="24"/>
        </w:rPr>
        <w:t>Zajdenweber; Dias</w:t>
      </w:r>
      <w:r w:rsidR="00504435" w:rsidRPr="00884B8E">
        <w:rPr>
          <w:rFonts w:ascii="Arial" w:eastAsia="Arial" w:hAnsi="Arial" w:cs="Arial"/>
          <w:sz w:val="24"/>
          <w:szCs w:val="24"/>
        </w:rPr>
        <w:t>, 2024).</w:t>
      </w:r>
    </w:p>
    <w:p w14:paraId="54955319" w14:textId="15AABBC6"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Em comparação com países da América Latina</w:t>
      </w:r>
      <w:r w:rsidR="00BE091D" w:rsidRPr="00884B8E">
        <w:rPr>
          <w:rFonts w:ascii="Arial" w:eastAsia="Arial" w:hAnsi="Arial" w:cs="Arial"/>
          <w:sz w:val="24"/>
          <w:szCs w:val="24"/>
        </w:rPr>
        <w:t>,</w:t>
      </w:r>
      <w:r w:rsidRPr="00884B8E">
        <w:rPr>
          <w:rFonts w:ascii="Arial" w:eastAsia="Arial" w:hAnsi="Arial" w:cs="Arial"/>
          <w:sz w:val="24"/>
          <w:szCs w:val="24"/>
        </w:rPr>
        <w:t xml:space="preserve"> o Brasil ainda está muito atrás dos países da região, contrastando com uma tendência internacional e regional de aumento na representação política feminina. A Argentina e o México, por exemplo, têm ótimos indicadores, apresentando uma real paridade de representatividade feminina nos parlamentos, respectivamente de 44,95% e 50%, maiores índices entre os países do G20 (</w:t>
      </w:r>
      <w:r w:rsidR="00F774CD" w:rsidRPr="00884B8E">
        <w:rPr>
          <w:rFonts w:ascii="Arial" w:eastAsia="Arial" w:hAnsi="Arial" w:cs="Arial"/>
          <w:sz w:val="24"/>
          <w:szCs w:val="24"/>
        </w:rPr>
        <w:t>Zajdenweber; Dias, 2024</w:t>
      </w:r>
      <w:r w:rsidRPr="00884B8E">
        <w:rPr>
          <w:rFonts w:ascii="Arial" w:eastAsia="Arial" w:hAnsi="Arial" w:cs="Arial"/>
          <w:sz w:val="24"/>
          <w:szCs w:val="24"/>
        </w:rPr>
        <w:t>).</w:t>
      </w:r>
    </w:p>
    <w:p w14:paraId="7FA1CFCD" w14:textId="4A66A22D" w:rsidR="002A2CCD" w:rsidRPr="00884B8E" w:rsidRDefault="00897666">
      <w:pPr>
        <w:spacing w:after="0" w:line="360" w:lineRule="auto"/>
        <w:jc w:val="both"/>
        <w:rPr>
          <w:rFonts w:ascii="Arial" w:eastAsia="Arial" w:hAnsi="Arial" w:cs="Arial"/>
          <w:sz w:val="24"/>
          <w:szCs w:val="24"/>
        </w:rPr>
      </w:pPr>
      <w:r w:rsidRPr="00884B8E">
        <w:rPr>
          <w:rFonts w:ascii="Arial" w:eastAsia="Arial" w:hAnsi="Arial" w:cs="Arial"/>
          <w:sz w:val="24"/>
          <w:szCs w:val="24"/>
        </w:rPr>
        <w:tab/>
        <w:t>Considerando esse panorama nacional, o objetivo principal deste artigo consiste em refletir acerca da participação feminina nas eleições municipais para vereadores em 2020, dando enfoque no caso do estado do Piauí. Com isso, a pergunta que nos propomos a responder é</w:t>
      </w:r>
      <w:r w:rsidR="00BE091D" w:rsidRPr="00884B8E">
        <w:rPr>
          <w:rFonts w:ascii="Arial" w:eastAsia="Arial" w:hAnsi="Arial" w:cs="Arial"/>
          <w:sz w:val="24"/>
          <w:szCs w:val="24"/>
        </w:rPr>
        <w:t>: Q</w:t>
      </w:r>
      <w:r w:rsidRPr="00884B8E">
        <w:rPr>
          <w:rFonts w:ascii="Arial" w:eastAsia="Arial" w:hAnsi="Arial" w:cs="Arial"/>
          <w:sz w:val="24"/>
          <w:szCs w:val="24"/>
        </w:rPr>
        <w:t>ual a efetividade de candidaturas e votação feminina no estado do Piauí para o cargo de vereadores em 2020?</w:t>
      </w:r>
      <w:r w:rsidR="00BE091D" w:rsidRPr="00884B8E">
        <w:rPr>
          <w:rFonts w:ascii="Arial" w:eastAsia="Arial" w:hAnsi="Arial" w:cs="Arial"/>
          <w:sz w:val="24"/>
          <w:szCs w:val="24"/>
        </w:rPr>
        <w:t xml:space="preserve"> P</w:t>
      </w:r>
      <w:r w:rsidRPr="00884B8E">
        <w:rPr>
          <w:rFonts w:ascii="Arial" w:eastAsia="Arial" w:hAnsi="Arial" w:cs="Arial"/>
          <w:sz w:val="24"/>
          <w:szCs w:val="24"/>
        </w:rPr>
        <w:t xml:space="preserve">ara </w:t>
      </w:r>
      <w:r w:rsidR="00BE091D" w:rsidRPr="00884B8E">
        <w:rPr>
          <w:rFonts w:ascii="Arial" w:eastAsia="Arial" w:hAnsi="Arial" w:cs="Arial"/>
          <w:sz w:val="24"/>
          <w:szCs w:val="24"/>
        </w:rPr>
        <w:t xml:space="preserve">, </w:t>
      </w:r>
      <w:r w:rsidRPr="00884B8E">
        <w:rPr>
          <w:rFonts w:ascii="Arial" w:eastAsia="Arial" w:hAnsi="Arial" w:cs="Arial"/>
          <w:sz w:val="24"/>
          <w:szCs w:val="24"/>
        </w:rPr>
        <w:t xml:space="preserve">foram </w:t>
      </w:r>
      <w:r w:rsidR="00BE091D" w:rsidRPr="00884B8E">
        <w:rPr>
          <w:rFonts w:ascii="Arial" w:eastAsia="Arial" w:hAnsi="Arial" w:cs="Arial"/>
          <w:sz w:val="24"/>
          <w:szCs w:val="24"/>
        </w:rPr>
        <w:t xml:space="preserve">mobilizadas </w:t>
      </w:r>
      <w:r w:rsidRPr="00884B8E">
        <w:rPr>
          <w:rFonts w:ascii="Arial" w:eastAsia="Arial" w:hAnsi="Arial" w:cs="Arial"/>
          <w:sz w:val="24"/>
          <w:szCs w:val="24"/>
        </w:rPr>
        <w:t xml:space="preserve">as temáticas da participação feminina no Brasil, as mudanças institucionais que ocorreram no período e a excepcionalidade na ocorrência da pandemia de </w:t>
      </w:r>
      <w:r w:rsidR="0035498B" w:rsidRPr="00884B8E">
        <w:rPr>
          <w:rFonts w:ascii="Arial" w:eastAsia="Arial" w:hAnsi="Arial" w:cs="Arial"/>
          <w:sz w:val="24"/>
          <w:szCs w:val="24"/>
        </w:rPr>
        <w:t>C</w:t>
      </w:r>
      <w:r w:rsidR="00015269" w:rsidRPr="00884B8E">
        <w:rPr>
          <w:rFonts w:ascii="Arial" w:eastAsia="Arial" w:hAnsi="Arial" w:cs="Arial"/>
          <w:sz w:val="24"/>
          <w:szCs w:val="24"/>
        </w:rPr>
        <w:t>ovid</w:t>
      </w:r>
      <w:r w:rsidR="0035498B" w:rsidRPr="00884B8E">
        <w:rPr>
          <w:rFonts w:ascii="Arial" w:eastAsia="Arial" w:hAnsi="Arial" w:cs="Arial"/>
          <w:sz w:val="24"/>
          <w:szCs w:val="24"/>
        </w:rPr>
        <w:t>-19</w:t>
      </w:r>
      <w:r w:rsidRPr="00884B8E">
        <w:rPr>
          <w:rFonts w:ascii="Arial" w:eastAsia="Arial" w:hAnsi="Arial" w:cs="Arial"/>
          <w:sz w:val="24"/>
          <w:szCs w:val="24"/>
        </w:rPr>
        <w:t xml:space="preserve"> nas eleições municipais de 2020. Quanto à abordagem metodológica empregada, trata-se de uma pesquisa descritiva</w:t>
      </w:r>
      <w:r w:rsidR="00BE091D" w:rsidRPr="00884B8E">
        <w:rPr>
          <w:rFonts w:ascii="Arial" w:eastAsia="Arial" w:hAnsi="Arial" w:cs="Arial"/>
          <w:sz w:val="24"/>
          <w:szCs w:val="24"/>
        </w:rPr>
        <w:t>,</w:t>
      </w:r>
      <w:r w:rsidRPr="00884B8E">
        <w:rPr>
          <w:rFonts w:ascii="Arial" w:eastAsia="Arial" w:hAnsi="Arial" w:cs="Arial"/>
          <w:sz w:val="24"/>
          <w:szCs w:val="24"/>
        </w:rPr>
        <w:t xml:space="preserve"> por meio de uma análise quantitativa dos dados do Tribunal Superior Eleitoral (TSE) em todos os municípios do Piauí.</w:t>
      </w:r>
    </w:p>
    <w:p w14:paraId="7DADF6FC" w14:textId="1378120E"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A presente pesquisa é estruturada em duas partes</w:t>
      </w:r>
      <w:r w:rsidR="00BE091D" w:rsidRPr="00884B8E">
        <w:rPr>
          <w:rFonts w:ascii="Arial" w:eastAsia="Arial" w:hAnsi="Arial" w:cs="Arial"/>
          <w:sz w:val="24"/>
          <w:szCs w:val="24"/>
        </w:rPr>
        <w:t>. N</w:t>
      </w:r>
      <w:r w:rsidRPr="00884B8E">
        <w:rPr>
          <w:rFonts w:ascii="Arial" w:eastAsia="Arial" w:hAnsi="Arial" w:cs="Arial"/>
          <w:sz w:val="24"/>
          <w:szCs w:val="24"/>
        </w:rPr>
        <w:t>es</w:t>
      </w:r>
      <w:r w:rsidR="00BE091D" w:rsidRPr="00884B8E">
        <w:rPr>
          <w:rFonts w:ascii="Arial" w:eastAsia="Arial" w:hAnsi="Arial" w:cs="Arial"/>
          <w:sz w:val="24"/>
          <w:szCs w:val="24"/>
        </w:rPr>
        <w:t>t</w:t>
      </w:r>
      <w:r w:rsidRPr="00884B8E">
        <w:rPr>
          <w:rFonts w:ascii="Arial" w:eastAsia="Arial" w:hAnsi="Arial" w:cs="Arial"/>
          <w:sz w:val="24"/>
          <w:szCs w:val="24"/>
        </w:rPr>
        <w:t>a subdivisão</w:t>
      </w:r>
      <w:r w:rsidR="00BE091D" w:rsidRPr="00884B8E">
        <w:rPr>
          <w:rFonts w:ascii="Arial" w:eastAsia="Arial" w:hAnsi="Arial" w:cs="Arial"/>
          <w:sz w:val="24"/>
          <w:szCs w:val="24"/>
        </w:rPr>
        <w:t>,</w:t>
      </w:r>
      <w:r w:rsidRPr="00884B8E">
        <w:rPr>
          <w:rFonts w:ascii="Arial" w:eastAsia="Arial" w:hAnsi="Arial" w:cs="Arial"/>
          <w:sz w:val="24"/>
          <w:szCs w:val="24"/>
        </w:rPr>
        <w:t xml:space="preserve"> a primeira seção é responsável por apresentar os conceitos e panorama geral do contexto representativo e conjuntural da política de inclusão e desafios para a representação política feminina no Brasil. Tendo isso em vista, a segunda parte tem como foco a análise dados disponibilizados no repositório do Tribunal Superior Eleitoral (TSE) em todas as cidades do Piauí, por meio de um comparativo entre as eleições municipais de 2016 e 2020.</w:t>
      </w:r>
    </w:p>
    <w:p w14:paraId="15E92A25" w14:textId="52E01F66" w:rsidR="002A2CCD" w:rsidRPr="00884B8E" w:rsidRDefault="00897666">
      <w:pPr>
        <w:spacing w:after="0" w:line="360" w:lineRule="auto"/>
        <w:ind w:firstLine="720"/>
        <w:jc w:val="both"/>
        <w:rPr>
          <w:rFonts w:ascii="Arial" w:eastAsia="Arial" w:hAnsi="Arial" w:cs="Arial"/>
          <w:sz w:val="24"/>
          <w:szCs w:val="24"/>
        </w:rPr>
      </w:pPr>
      <w:r w:rsidRPr="00884B8E">
        <w:rPr>
          <w:rFonts w:ascii="Arial" w:eastAsia="Arial" w:hAnsi="Arial" w:cs="Arial"/>
          <w:sz w:val="24"/>
          <w:szCs w:val="24"/>
        </w:rPr>
        <w:t>Como já mencionado</w:t>
      </w:r>
      <w:r w:rsidR="00BE091D" w:rsidRPr="00884B8E">
        <w:rPr>
          <w:rFonts w:ascii="Arial" w:eastAsia="Arial" w:hAnsi="Arial" w:cs="Arial"/>
          <w:sz w:val="24"/>
          <w:szCs w:val="24"/>
        </w:rPr>
        <w:t>,</w:t>
      </w:r>
      <w:r w:rsidRPr="00884B8E">
        <w:rPr>
          <w:rFonts w:ascii="Arial" w:eastAsia="Arial" w:hAnsi="Arial" w:cs="Arial"/>
          <w:sz w:val="24"/>
          <w:szCs w:val="24"/>
        </w:rPr>
        <w:t xml:space="preserve"> mas de </w:t>
      </w:r>
      <w:r w:rsidR="00BE091D" w:rsidRPr="00884B8E">
        <w:rPr>
          <w:rFonts w:ascii="Arial" w:eastAsia="Arial" w:hAnsi="Arial" w:cs="Arial"/>
          <w:sz w:val="24"/>
          <w:szCs w:val="24"/>
        </w:rPr>
        <w:t xml:space="preserve">modo </w:t>
      </w:r>
      <w:r w:rsidRPr="00884B8E">
        <w:rPr>
          <w:rFonts w:ascii="Arial" w:eastAsia="Arial" w:hAnsi="Arial" w:cs="Arial"/>
          <w:sz w:val="24"/>
          <w:szCs w:val="24"/>
        </w:rPr>
        <w:t>mais específic</w:t>
      </w:r>
      <w:r w:rsidR="00BE091D" w:rsidRPr="00884B8E">
        <w:rPr>
          <w:rFonts w:ascii="Arial" w:eastAsia="Arial" w:hAnsi="Arial" w:cs="Arial"/>
          <w:sz w:val="24"/>
          <w:szCs w:val="24"/>
        </w:rPr>
        <w:t xml:space="preserve">o, </w:t>
      </w:r>
      <w:r w:rsidRPr="00884B8E">
        <w:rPr>
          <w:rFonts w:ascii="Arial" w:eastAsia="Arial" w:hAnsi="Arial" w:cs="Arial"/>
          <w:sz w:val="24"/>
          <w:szCs w:val="24"/>
        </w:rPr>
        <w:t xml:space="preserve">a primeira seção </w:t>
      </w:r>
      <w:r w:rsidR="00BE091D" w:rsidRPr="00884B8E">
        <w:rPr>
          <w:rFonts w:ascii="Arial" w:eastAsia="Arial" w:hAnsi="Arial" w:cs="Arial"/>
          <w:sz w:val="24"/>
          <w:szCs w:val="24"/>
        </w:rPr>
        <w:t xml:space="preserve">desse </w:t>
      </w:r>
      <w:r w:rsidRPr="00884B8E">
        <w:rPr>
          <w:rFonts w:ascii="Arial" w:eastAsia="Arial" w:hAnsi="Arial" w:cs="Arial"/>
          <w:sz w:val="24"/>
          <w:szCs w:val="24"/>
        </w:rPr>
        <w:t xml:space="preserve">artigo destina-se a introduzir e desenvolver o debate de como a participação feminina, as mudanças institucionais e a pandemia de </w:t>
      </w:r>
      <w:r w:rsidR="0035498B" w:rsidRPr="00884B8E">
        <w:rPr>
          <w:rFonts w:ascii="Arial" w:eastAsia="Arial" w:hAnsi="Arial" w:cs="Arial"/>
          <w:sz w:val="24"/>
          <w:szCs w:val="24"/>
        </w:rPr>
        <w:t>C</w:t>
      </w:r>
      <w:r w:rsidR="00015269" w:rsidRPr="00884B8E">
        <w:rPr>
          <w:rFonts w:ascii="Arial" w:eastAsia="Arial" w:hAnsi="Arial" w:cs="Arial"/>
          <w:sz w:val="24"/>
          <w:szCs w:val="24"/>
        </w:rPr>
        <w:t>ovid</w:t>
      </w:r>
      <w:r w:rsidR="0035498B" w:rsidRPr="00884B8E">
        <w:rPr>
          <w:rFonts w:ascii="Arial" w:eastAsia="Arial" w:hAnsi="Arial" w:cs="Arial"/>
          <w:sz w:val="24"/>
          <w:szCs w:val="24"/>
        </w:rPr>
        <w:t>-19</w:t>
      </w:r>
      <w:r w:rsidRPr="00884B8E">
        <w:rPr>
          <w:rFonts w:ascii="Arial" w:eastAsia="Arial" w:hAnsi="Arial" w:cs="Arial"/>
          <w:sz w:val="24"/>
          <w:szCs w:val="24"/>
        </w:rPr>
        <w:t xml:space="preserve"> nas eleições municipais de 2020 se inter</w:t>
      </w:r>
      <w:r w:rsidR="00BE091D" w:rsidRPr="00884B8E">
        <w:rPr>
          <w:rFonts w:ascii="Arial" w:eastAsia="Arial" w:hAnsi="Arial" w:cs="Arial"/>
          <w:sz w:val="24"/>
          <w:szCs w:val="24"/>
        </w:rPr>
        <w:t>-</w:t>
      </w:r>
      <w:r w:rsidRPr="00884B8E">
        <w:rPr>
          <w:rFonts w:ascii="Arial" w:eastAsia="Arial" w:hAnsi="Arial" w:cs="Arial"/>
          <w:sz w:val="24"/>
          <w:szCs w:val="24"/>
        </w:rPr>
        <w:t xml:space="preserve">relacionam e foram variáveis fulcrais para os resultados das eleições em </w:t>
      </w:r>
      <w:r w:rsidRPr="00884B8E">
        <w:rPr>
          <w:rFonts w:ascii="Arial" w:eastAsia="Arial" w:hAnsi="Arial" w:cs="Arial"/>
          <w:sz w:val="24"/>
          <w:szCs w:val="24"/>
        </w:rPr>
        <w:lastRenderedPageBreak/>
        <w:t>questão, tendo influência direta nas dinâmica</w:t>
      </w:r>
      <w:r w:rsidR="00BE091D" w:rsidRPr="00884B8E">
        <w:rPr>
          <w:rFonts w:ascii="Arial" w:eastAsia="Arial" w:hAnsi="Arial" w:cs="Arial"/>
          <w:sz w:val="24"/>
          <w:szCs w:val="24"/>
        </w:rPr>
        <w:t>s</w:t>
      </w:r>
      <w:r w:rsidRPr="00884B8E">
        <w:rPr>
          <w:rFonts w:ascii="Arial" w:eastAsia="Arial" w:hAnsi="Arial" w:cs="Arial"/>
          <w:sz w:val="24"/>
          <w:szCs w:val="24"/>
        </w:rPr>
        <w:t xml:space="preserve"> eleitorais por diversos motivos </w:t>
      </w:r>
      <w:proofErr w:type="gramStart"/>
      <w:r w:rsidRPr="00884B8E">
        <w:rPr>
          <w:rFonts w:ascii="Arial" w:eastAsia="Arial" w:hAnsi="Arial" w:cs="Arial"/>
          <w:sz w:val="24"/>
          <w:szCs w:val="24"/>
        </w:rPr>
        <w:t>melhor</w:t>
      </w:r>
      <w:proofErr w:type="gramEnd"/>
      <w:r w:rsidRPr="00884B8E">
        <w:rPr>
          <w:rFonts w:ascii="Arial" w:eastAsia="Arial" w:hAnsi="Arial" w:cs="Arial"/>
          <w:sz w:val="24"/>
          <w:szCs w:val="24"/>
        </w:rPr>
        <w:t xml:space="preserve"> explorados e aprofundados </w:t>
      </w:r>
      <w:r w:rsidR="00BE091D" w:rsidRPr="00884B8E">
        <w:rPr>
          <w:rFonts w:ascii="Arial" w:eastAsia="Arial" w:hAnsi="Arial" w:cs="Arial"/>
          <w:sz w:val="24"/>
          <w:szCs w:val="24"/>
        </w:rPr>
        <w:t>no decorrer</w:t>
      </w:r>
      <w:r w:rsidRPr="00884B8E">
        <w:rPr>
          <w:rFonts w:ascii="Arial" w:eastAsia="Arial" w:hAnsi="Arial" w:cs="Arial"/>
          <w:sz w:val="24"/>
          <w:szCs w:val="24"/>
        </w:rPr>
        <w:t xml:space="preserve"> da </w:t>
      </w:r>
      <w:r w:rsidR="00BE091D" w:rsidRPr="00884B8E">
        <w:rPr>
          <w:rFonts w:ascii="Arial" w:eastAsia="Arial" w:hAnsi="Arial" w:cs="Arial"/>
          <w:sz w:val="24"/>
          <w:szCs w:val="24"/>
        </w:rPr>
        <w:t>seção</w:t>
      </w:r>
      <w:r w:rsidRPr="00884B8E">
        <w:rPr>
          <w:rFonts w:ascii="Arial" w:eastAsia="Arial" w:hAnsi="Arial" w:cs="Arial"/>
          <w:sz w:val="24"/>
          <w:szCs w:val="24"/>
        </w:rPr>
        <w:t>.</w:t>
      </w:r>
    </w:p>
    <w:p w14:paraId="2D028604" w14:textId="488F25D6" w:rsidR="002A2CCD" w:rsidRPr="00884B8E" w:rsidRDefault="00897666">
      <w:pPr>
        <w:spacing w:after="0" w:line="360" w:lineRule="auto"/>
        <w:jc w:val="both"/>
        <w:rPr>
          <w:rFonts w:ascii="Arial" w:eastAsia="Arial" w:hAnsi="Arial" w:cs="Arial"/>
          <w:sz w:val="24"/>
          <w:szCs w:val="24"/>
        </w:rPr>
      </w:pPr>
      <w:r w:rsidRPr="00884B8E">
        <w:rPr>
          <w:rFonts w:ascii="Arial" w:eastAsia="Arial" w:hAnsi="Arial" w:cs="Arial"/>
          <w:sz w:val="24"/>
          <w:szCs w:val="24"/>
        </w:rPr>
        <w:tab/>
        <w:t>A segunda seção dedica-se</w:t>
      </w:r>
      <w:r w:rsidR="00BE091D" w:rsidRPr="00884B8E">
        <w:rPr>
          <w:rFonts w:ascii="Arial" w:eastAsia="Arial" w:hAnsi="Arial" w:cs="Arial"/>
          <w:sz w:val="24"/>
          <w:szCs w:val="24"/>
        </w:rPr>
        <w:t>,</w:t>
      </w:r>
      <w:r w:rsidRPr="00884B8E">
        <w:rPr>
          <w:rFonts w:ascii="Arial" w:eastAsia="Arial" w:hAnsi="Arial" w:cs="Arial"/>
          <w:sz w:val="24"/>
          <w:szCs w:val="24"/>
        </w:rPr>
        <w:t xml:space="preserve"> em um primeiro momento</w:t>
      </w:r>
      <w:r w:rsidR="00BE091D" w:rsidRPr="00884B8E">
        <w:rPr>
          <w:rFonts w:ascii="Arial" w:eastAsia="Arial" w:hAnsi="Arial" w:cs="Arial"/>
          <w:sz w:val="24"/>
          <w:szCs w:val="24"/>
        </w:rPr>
        <w:t>,</w:t>
      </w:r>
      <w:r w:rsidRPr="00884B8E">
        <w:rPr>
          <w:rFonts w:ascii="Arial" w:eastAsia="Arial" w:hAnsi="Arial" w:cs="Arial"/>
          <w:sz w:val="24"/>
          <w:szCs w:val="24"/>
        </w:rPr>
        <w:t xml:space="preserve"> a analisar as candidaturas e </w:t>
      </w:r>
      <w:r w:rsidR="00BE091D" w:rsidRPr="00884B8E">
        <w:rPr>
          <w:rFonts w:ascii="Arial" w:eastAsia="Arial" w:hAnsi="Arial" w:cs="Arial"/>
          <w:sz w:val="24"/>
          <w:szCs w:val="24"/>
        </w:rPr>
        <w:t xml:space="preserve">o </w:t>
      </w:r>
      <w:r w:rsidRPr="00884B8E">
        <w:rPr>
          <w:rFonts w:ascii="Arial" w:eastAsia="Arial" w:hAnsi="Arial" w:cs="Arial"/>
          <w:sz w:val="24"/>
          <w:szCs w:val="24"/>
        </w:rPr>
        <w:t xml:space="preserve">desempenho feminino nas eleições municipais de </w:t>
      </w:r>
      <w:r w:rsidR="00BE091D" w:rsidRPr="00884B8E">
        <w:rPr>
          <w:rFonts w:ascii="Arial" w:eastAsia="Arial" w:hAnsi="Arial" w:cs="Arial"/>
          <w:sz w:val="24"/>
          <w:szCs w:val="24"/>
        </w:rPr>
        <w:t>maneira</w:t>
      </w:r>
      <w:r w:rsidRPr="00884B8E">
        <w:rPr>
          <w:rFonts w:ascii="Arial" w:eastAsia="Arial" w:hAnsi="Arial" w:cs="Arial"/>
          <w:sz w:val="24"/>
          <w:szCs w:val="24"/>
        </w:rPr>
        <w:t xml:space="preserve"> mais abrangente</w:t>
      </w:r>
      <w:r w:rsidR="00BE091D" w:rsidRPr="00884B8E">
        <w:rPr>
          <w:rFonts w:ascii="Arial" w:eastAsia="Arial" w:hAnsi="Arial" w:cs="Arial"/>
          <w:sz w:val="24"/>
          <w:szCs w:val="24"/>
        </w:rPr>
        <w:t xml:space="preserve">, com </w:t>
      </w:r>
      <w:r w:rsidRPr="00884B8E">
        <w:rPr>
          <w:rFonts w:ascii="Arial" w:eastAsia="Arial" w:hAnsi="Arial" w:cs="Arial"/>
          <w:sz w:val="24"/>
          <w:szCs w:val="24"/>
        </w:rPr>
        <w:t xml:space="preserve">dados de </w:t>
      </w:r>
      <w:proofErr w:type="gramStart"/>
      <w:r w:rsidRPr="00884B8E">
        <w:rPr>
          <w:rFonts w:ascii="Arial" w:eastAsia="Arial" w:hAnsi="Arial" w:cs="Arial"/>
          <w:sz w:val="24"/>
          <w:szCs w:val="24"/>
        </w:rPr>
        <w:t>todos municípios</w:t>
      </w:r>
      <w:proofErr w:type="gramEnd"/>
      <w:r w:rsidRPr="00884B8E">
        <w:rPr>
          <w:rFonts w:ascii="Arial" w:eastAsia="Arial" w:hAnsi="Arial" w:cs="Arial"/>
          <w:sz w:val="24"/>
          <w:szCs w:val="24"/>
        </w:rPr>
        <w:t xml:space="preserve"> do Brasil</w:t>
      </w:r>
      <w:r w:rsidR="00BE091D" w:rsidRPr="00884B8E">
        <w:rPr>
          <w:rFonts w:ascii="Arial" w:eastAsia="Arial" w:hAnsi="Arial" w:cs="Arial"/>
          <w:sz w:val="24"/>
          <w:szCs w:val="24"/>
        </w:rPr>
        <w:t>,</w:t>
      </w:r>
      <w:r w:rsidRPr="00884B8E">
        <w:rPr>
          <w:rFonts w:ascii="Arial" w:eastAsia="Arial" w:hAnsi="Arial" w:cs="Arial"/>
          <w:sz w:val="24"/>
          <w:szCs w:val="24"/>
        </w:rPr>
        <w:t xml:space="preserve"> para em um segundo momento focar e se aprofundar no caso das eleições municipais do estado do Piauí, tendo como base os dados no repositório do TSE, </w:t>
      </w:r>
      <w:r w:rsidR="00BE091D" w:rsidRPr="00884B8E">
        <w:rPr>
          <w:rFonts w:ascii="Arial" w:eastAsia="Arial" w:hAnsi="Arial" w:cs="Arial"/>
          <w:sz w:val="24"/>
          <w:szCs w:val="24"/>
        </w:rPr>
        <w:t xml:space="preserve">a fim de </w:t>
      </w:r>
      <w:r w:rsidRPr="00884B8E">
        <w:rPr>
          <w:rFonts w:ascii="Arial" w:eastAsia="Arial" w:hAnsi="Arial" w:cs="Arial"/>
          <w:sz w:val="24"/>
          <w:szCs w:val="24"/>
        </w:rPr>
        <w:t>faze</w:t>
      </w:r>
      <w:r w:rsidR="00BE091D" w:rsidRPr="00884B8E">
        <w:rPr>
          <w:rFonts w:ascii="Arial" w:eastAsia="Arial" w:hAnsi="Arial" w:cs="Arial"/>
          <w:sz w:val="24"/>
          <w:szCs w:val="24"/>
        </w:rPr>
        <w:t xml:space="preserve">r </w:t>
      </w:r>
      <w:r w:rsidRPr="00884B8E">
        <w:rPr>
          <w:rFonts w:ascii="Arial" w:eastAsia="Arial" w:hAnsi="Arial" w:cs="Arial"/>
          <w:sz w:val="24"/>
          <w:szCs w:val="24"/>
        </w:rPr>
        <w:t xml:space="preserve">uma análise </w:t>
      </w:r>
      <w:r w:rsidR="00BE091D" w:rsidRPr="00884B8E">
        <w:rPr>
          <w:rFonts w:ascii="Arial" w:eastAsia="Arial" w:hAnsi="Arial" w:cs="Arial"/>
          <w:sz w:val="24"/>
          <w:szCs w:val="24"/>
        </w:rPr>
        <w:t xml:space="preserve">comparativa </w:t>
      </w:r>
      <w:r w:rsidRPr="00884B8E">
        <w:rPr>
          <w:rFonts w:ascii="Arial" w:eastAsia="Arial" w:hAnsi="Arial" w:cs="Arial"/>
          <w:sz w:val="24"/>
          <w:szCs w:val="24"/>
        </w:rPr>
        <w:t>entre as eleições de 2016 e 2020.</w:t>
      </w:r>
    </w:p>
    <w:p w14:paraId="54DC003F" w14:textId="4F6B7EC5" w:rsidR="002A2CCD" w:rsidRPr="00884B8E" w:rsidRDefault="00897666">
      <w:pPr>
        <w:spacing w:after="0" w:line="360" w:lineRule="auto"/>
        <w:contextualSpacing/>
        <w:jc w:val="both"/>
        <w:rPr>
          <w:rFonts w:ascii="Arial" w:eastAsia="Arial" w:hAnsi="Arial" w:cs="Arial"/>
          <w:sz w:val="24"/>
          <w:szCs w:val="24"/>
        </w:rPr>
      </w:pPr>
      <w:r w:rsidRPr="00884B8E">
        <w:rPr>
          <w:rFonts w:ascii="Arial" w:eastAsia="Arial" w:hAnsi="Arial" w:cs="Arial"/>
          <w:sz w:val="24"/>
          <w:szCs w:val="24"/>
        </w:rPr>
        <w:tab/>
        <w:t xml:space="preserve">Os resultados encontrados apontam para um alinhamento entre o estado do Piauí e o contexto nacional, registrando aumento nas candidaturas femininas, </w:t>
      </w:r>
      <w:r w:rsidR="00720BC2" w:rsidRPr="00884B8E">
        <w:rPr>
          <w:rFonts w:ascii="Arial" w:eastAsia="Arial" w:hAnsi="Arial" w:cs="Arial"/>
          <w:sz w:val="24"/>
          <w:szCs w:val="24"/>
        </w:rPr>
        <w:t xml:space="preserve">com </w:t>
      </w:r>
      <w:r w:rsidRPr="00884B8E">
        <w:rPr>
          <w:rFonts w:ascii="Arial" w:eastAsia="Arial" w:hAnsi="Arial" w:cs="Arial"/>
          <w:sz w:val="24"/>
          <w:szCs w:val="24"/>
        </w:rPr>
        <w:t>maior participação nas eleições que homens, embora pouco sucesso eleitoral feminino para o cargo de vereadoras.</w:t>
      </w:r>
    </w:p>
    <w:p w14:paraId="0EF854D2" w14:textId="77777777" w:rsidR="001A59B5" w:rsidRPr="00884B8E" w:rsidRDefault="001A59B5">
      <w:pPr>
        <w:spacing w:after="0" w:line="360" w:lineRule="auto"/>
        <w:contextualSpacing/>
        <w:jc w:val="both"/>
        <w:rPr>
          <w:rFonts w:ascii="Arial" w:eastAsia="Arial" w:hAnsi="Arial" w:cs="Arial"/>
          <w:sz w:val="24"/>
          <w:szCs w:val="24"/>
        </w:rPr>
      </w:pPr>
    </w:p>
    <w:p w14:paraId="18C42A79" w14:textId="67DAC5CB" w:rsidR="002A2CCD" w:rsidRPr="00884B8E" w:rsidRDefault="00897666">
      <w:pPr>
        <w:spacing w:before="240" w:after="240"/>
        <w:contextualSpacing/>
        <w:jc w:val="both"/>
        <w:rPr>
          <w:rFonts w:ascii="Arial" w:eastAsia="Arial" w:hAnsi="Arial" w:cs="Arial"/>
          <w:b/>
          <w:sz w:val="28"/>
          <w:szCs w:val="28"/>
        </w:rPr>
      </w:pPr>
      <w:r w:rsidRPr="00884B8E">
        <w:rPr>
          <w:rFonts w:ascii="Arial" w:eastAsia="Arial" w:hAnsi="Arial" w:cs="Arial"/>
          <w:b/>
          <w:sz w:val="24"/>
          <w:szCs w:val="24"/>
        </w:rPr>
        <w:t>1. PARTICIPAÇÃO FEMININA, MODIFICAÇÕES INSTITUCIONAIS E PANDEMIA NAS ELEIÇÕES</w:t>
      </w:r>
      <w:r w:rsidRPr="00884B8E">
        <w:rPr>
          <w:rFonts w:ascii="Arial" w:eastAsia="Arial" w:hAnsi="Arial" w:cs="Arial"/>
          <w:b/>
          <w:sz w:val="28"/>
          <w:szCs w:val="28"/>
        </w:rPr>
        <w:t xml:space="preserve"> </w:t>
      </w:r>
    </w:p>
    <w:p w14:paraId="4EE2DDDA" w14:textId="702BD14E" w:rsidR="001A59B5" w:rsidRPr="00884B8E" w:rsidRDefault="001A59B5">
      <w:pPr>
        <w:spacing w:before="240" w:after="240"/>
        <w:contextualSpacing/>
        <w:jc w:val="both"/>
        <w:rPr>
          <w:rFonts w:ascii="Arial" w:eastAsia="Arial" w:hAnsi="Arial" w:cs="Arial"/>
          <w:b/>
          <w:sz w:val="28"/>
          <w:szCs w:val="28"/>
        </w:rPr>
      </w:pPr>
    </w:p>
    <w:p w14:paraId="5C097E5E" w14:textId="77777777" w:rsidR="001A59B5" w:rsidRPr="00884B8E" w:rsidRDefault="001A59B5">
      <w:pPr>
        <w:spacing w:before="240" w:after="240"/>
        <w:contextualSpacing/>
        <w:jc w:val="both"/>
        <w:rPr>
          <w:rFonts w:ascii="Arial" w:eastAsia="Arial" w:hAnsi="Arial" w:cs="Arial"/>
          <w:b/>
          <w:sz w:val="28"/>
          <w:szCs w:val="28"/>
        </w:rPr>
      </w:pPr>
    </w:p>
    <w:p w14:paraId="389E1FC0" w14:textId="41FCDC55" w:rsidR="002A2CCD" w:rsidRPr="00884B8E" w:rsidRDefault="00897666">
      <w:pPr>
        <w:keepLines/>
        <w:spacing w:before="240" w:after="0" w:line="360" w:lineRule="auto"/>
        <w:ind w:firstLine="697"/>
        <w:contextualSpacing/>
        <w:jc w:val="both"/>
        <w:rPr>
          <w:rFonts w:ascii="Arial" w:eastAsia="Arial" w:hAnsi="Arial" w:cs="Arial"/>
          <w:sz w:val="24"/>
          <w:szCs w:val="24"/>
        </w:rPr>
      </w:pPr>
      <w:r w:rsidRPr="00884B8E">
        <w:rPr>
          <w:rFonts w:ascii="Arial" w:eastAsia="Arial" w:hAnsi="Arial" w:cs="Arial"/>
          <w:sz w:val="24"/>
          <w:szCs w:val="24"/>
        </w:rPr>
        <w:t xml:space="preserve">A dinâmica das eleições é influenciada por diversos fatores contextuais e estruturais que moldam o comportamento eleitoral e a composição das candidaturas. Nos últimos anos, três aspectos têm se destacado de </w:t>
      </w:r>
      <w:r w:rsidR="00201CAC" w:rsidRPr="00884B8E">
        <w:rPr>
          <w:rFonts w:ascii="Arial" w:eastAsia="Arial" w:hAnsi="Arial" w:cs="Arial"/>
          <w:sz w:val="24"/>
          <w:szCs w:val="24"/>
        </w:rPr>
        <w:t xml:space="preserve">modo </w:t>
      </w:r>
      <w:r w:rsidRPr="00884B8E">
        <w:rPr>
          <w:rFonts w:ascii="Arial" w:eastAsia="Arial" w:hAnsi="Arial" w:cs="Arial"/>
          <w:sz w:val="24"/>
          <w:szCs w:val="24"/>
        </w:rPr>
        <w:t xml:space="preserve">relevante: a participação feminina, as mudanças institucionais e a pandemia da </w:t>
      </w:r>
      <w:r w:rsidR="0035498B" w:rsidRPr="00884B8E">
        <w:rPr>
          <w:rFonts w:ascii="Arial" w:eastAsia="Arial" w:hAnsi="Arial" w:cs="Arial"/>
          <w:sz w:val="24"/>
          <w:szCs w:val="24"/>
        </w:rPr>
        <w:t>C</w:t>
      </w:r>
      <w:r w:rsidR="009F71D5" w:rsidRPr="00884B8E">
        <w:rPr>
          <w:rFonts w:ascii="Arial" w:eastAsia="Arial" w:hAnsi="Arial" w:cs="Arial"/>
          <w:sz w:val="24"/>
          <w:szCs w:val="24"/>
        </w:rPr>
        <w:t>ovid</w:t>
      </w:r>
      <w:r w:rsidR="0035498B" w:rsidRPr="00884B8E">
        <w:rPr>
          <w:rFonts w:ascii="Arial" w:eastAsia="Arial" w:hAnsi="Arial" w:cs="Arial"/>
          <w:sz w:val="24"/>
          <w:szCs w:val="24"/>
        </w:rPr>
        <w:t>-19</w:t>
      </w:r>
      <w:r w:rsidR="00844D08" w:rsidRPr="00884B8E">
        <w:rPr>
          <w:rFonts w:ascii="Arial" w:eastAsia="Arial" w:hAnsi="Arial" w:cs="Arial"/>
          <w:sz w:val="24"/>
          <w:szCs w:val="24"/>
        </w:rPr>
        <w:t xml:space="preserve"> (</w:t>
      </w:r>
      <w:r w:rsidR="000209C3" w:rsidRPr="00884B8E">
        <w:rPr>
          <w:rFonts w:ascii="Arial" w:eastAsia="Arial" w:hAnsi="Arial" w:cs="Arial"/>
          <w:sz w:val="24"/>
          <w:szCs w:val="24"/>
        </w:rPr>
        <w:t>Mar</w:t>
      </w:r>
      <w:r w:rsidR="00E37C15" w:rsidRPr="00884B8E">
        <w:rPr>
          <w:rFonts w:ascii="Arial" w:eastAsia="Arial" w:hAnsi="Arial" w:cs="Arial"/>
          <w:sz w:val="24"/>
          <w:szCs w:val="24"/>
        </w:rPr>
        <w:t>r</w:t>
      </w:r>
      <w:r w:rsidR="000209C3" w:rsidRPr="00884B8E">
        <w:rPr>
          <w:rFonts w:ascii="Arial" w:eastAsia="Arial" w:hAnsi="Arial" w:cs="Arial"/>
          <w:sz w:val="24"/>
          <w:szCs w:val="24"/>
        </w:rPr>
        <w:t xml:space="preserve">enco; </w:t>
      </w:r>
      <w:proofErr w:type="gramStart"/>
      <w:r w:rsidR="000209C3" w:rsidRPr="00884B8E">
        <w:rPr>
          <w:rFonts w:ascii="Arial" w:eastAsia="Arial" w:hAnsi="Arial" w:cs="Arial"/>
          <w:sz w:val="24"/>
          <w:szCs w:val="24"/>
        </w:rPr>
        <w:t>Cate</w:t>
      </w:r>
      <w:proofErr w:type="gramEnd"/>
      <w:r w:rsidR="000209C3" w:rsidRPr="00884B8E">
        <w:rPr>
          <w:rFonts w:ascii="Arial" w:eastAsia="Arial" w:hAnsi="Arial" w:cs="Arial"/>
          <w:sz w:val="24"/>
          <w:szCs w:val="24"/>
        </w:rPr>
        <w:t xml:space="preserve">, 2021; </w:t>
      </w:r>
      <w:bookmarkStart w:id="0" w:name="_Hlk179971690"/>
      <w:r w:rsidR="000209C3" w:rsidRPr="00884B8E">
        <w:rPr>
          <w:rFonts w:ascii="Arial" w:eastAsia="Arial" w:hAnsi="Arial" w:cs="Arial"/>
          <w:sz w:val="24"/>
          <w:szCs w:val="24"/>
        </w:rPr>
        <w:t>Rios; Paz, 2021; Barreto</w:t>
      </w:r>
      <w:r w:rsidR="00844D08" w:rsidRPr="00884B8E">
        <w:rPr>
          <w:rFonts w:ascii="Arial" w:eastAsia="Arial" w:hAnsi="Arial" w:cs="Arial"/>
          <w:sz w:val="24"/>
          <w:szCs w:val="24"/>
        </w:rPr>
        <w:t>, 2021</w:t>
      </w:r>
      <w:bookmarkEnd w:id="0"/>
      <w:r w:rsidR="00844D08" w:rsidRPr="00884B8E">
        <w:rPr>
          <w:rFonts w:ascii="Arial" w:eastAsia="Arial" w:hAnsi="Arial" w:cs="Arial"/>
          <w:sz w:val="24"/>
          <w:szCs w:val="24"/>
        </w:rPr>
        <w:t>)</w:t>
      </w:r>
      <w:r w:rsidRPr="00884B8E">
        <w:rPr>
          <w:rFonts w:ascii="Arial" w:eastAsia="Arial" w:hAnsi="Arial" w:cs="Arial"/>
          <w:sz w:val="24"/>
          <w:szCs w:val="24"/>
        </w:rPr>
        <w:t>. Esta seção tem por objetivo discutir cada um desses fatores</w:t>
      </w:r>
      <w:r w:rsidR="00201CAC" w:rsidRPr="00884B8E">
        <w:rPr>
          <w:rFonts w:ascii="Arial" w:eastAsia="Arial" w:hAnsi="Arial" w:cs="Arial"/>
          <w:sz w:val="24"/>
          <w:szCs w:val="24"/>
        </w:rPr>
        <w:t xml:space="preserve"> e apresentar </w:t>
      </w:r>
      <w:r w:rsidRPr="00884B8E">
        <w:rPr>
          <w:rFonts w:ascii="Arial" w:eastAsia="Arial" w:hAnsi="Arial" w:cs="Arial"/>
          <w:sz w:val="24"/>
          <w:szCs w:val="24"/>
        </w:rPr>
        <w:t>uma análise</w:t>
      </w:r>
      <w:r w:rsidR="00201CAC" w:rsidRPr="00884B8E">
        <w:rPr>
          <w:rFonts w:ascii="Arial" w:eastAsia="Arial" w:hAnsi="Arial" w:cs="Arial"/>
          <w:sz w:val="24"/>
          <w:szCs w:val="24"/>
        </w:rPr>
        <w:t>,</w:t>
      </w:r>
      <w:r w:rsidRPr="00884B8E">
        <w:rPr>
          <w:rFonts w:ascii="Arial" w:eastAsia="Arial" w:hAnsi="Arial" w:cs="Arial"/>
          <w:sz w:val="24"/>
          <w:szCs w:val="24"/>
        </w:rPr>
        <w:t xml:space="preserve"> relacionando-os de </w:t>
      </w:r>
      <w:r w:rsidR="00201CAC" w:rsidRPr="00884B8E">
        <w:rPr>
          <w:rFonts w:ascii="Arial" w:eastAsia="Arial" w:hAnsi="Arial" w:cs="Arial"/>
          <w:sz w:val="24"/>
          <w:szCs w:val="24"/>
        </w:rPr>
        <w:t xml:space="preserve">modo </w:t>
      </w:r>
      <w:r w:rsidRPr="00884B8E">
        <w:rPr>
          <w:rFonts w:ascii="Arial" w:eastAsia="Arial" w:hAnsi="Arial" w:cs="Arial"/>
          <w:sz w:val="24"/>
          <w:szCs w:val="24"/>
        </w:rPr>
        <w:t>a compreender suas implicações nas eleições municipais de 2020.</w:t>
      </w:r>
    </w:p>
    <w:p w14:paraId="2534E0A5" w14:textId="573A553C" w:rsidR="002A2CCD" w:rsidRPr="00884B8E" w:rsidRDefault="00897666">
      <w:pPr>
        <w:keepLines/>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A participação das mulheres na política tem sido uma luta histórica e progressiva. No Brasil, a sub-representação feminina é evidente, apesar das medidas institucionais implementadas para promover maior equidade de gênero. A Lei nº 9.504/1997, conhecida como Lei das Eleições, estabeleceu a obrigatoriedade de preenchimento de 30% e no máximo de 70% para candidaturas de cada sexo (</w:t>
      </w:r>
      <w:r w:rsidR="000209C3" w:rsidRPr="00884B8E">
        <w:rPr>
          <w:rFonts w:ascii="Arial" w:eastAsia="Arial" w:hAnsi="Arial" w:cs="Arial"/>
          <w:sz w:val="24"/>
          <w:szCs w:val="24"/>
        </w:rPr>
        <w:t xml:space="preserve">Brasil, </w:t>
      </w:r>
      <w:r w:rsidRPr="00884B8E">
        <w:rPr>
          <w:rFonts w:ascii="Arial" w:eastAsia="Arial" w:hAnsi="Arial" w:cs="Arial"/>
          <w:sz w:val="24"/>
          <w:szCs w:val="24"/>
        </w:rPr>
        <w:t>1997). Contudo, a efetividade dessa medida tem sido questionada.</w:t>
      </w:r>
    </w:p>
    <w:p w14:paraId="789ACFE3" w14:textId="553B5EEF"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Estudos demonstram que, embora tenha havido</w:t>
      </w:r>
      <w:r w:rsidR="00201CAC" w:rsidRPr="00884B8E">
        <w:rPr>
          <w:rFonts w:ascii="Arial" w:eastAsia="Arial" w:hAnsi="Arial" w:cs="Arial"/>
          <w:sz w:val="24"/>
          <w:szCs w:val="24"/>
        </w:rPr>
        <w:t xml:space="preserve"> </w:t>
      </w:r>
      <w:r w:rsidRPr="00884B8E">
        <w:rPr>
          <w:rFonts w:ascii="Arial" w:eastAsia="Arial" w:hAnsi="Arial" w:cs="Arial"/>
          <w:sz w:val="24"/>
          <w:szCs w:val="24"/>
        </w:rPr>
        <w:t xml:space="preserve">aumento no número de candidaturas femininas, isso não se traduziu necessariamente em maior representação nos cargos eletivos (Araújo; Ribeiro, 2020). Várias barreiras continuam a limitar a participação efetiva das mulheres na política, como a distribuição desigual </w:t>
      </w:r>
      <w:r w:rsidRPr="00884B8E">
        <w:rPr>
          <w:rFonts w:ascii="Arial" w:eastAsia="Arial" w:hAnsi="Arial" w:cs="Arial"/>
          <w:sz w:val="24"/>
          <w:szCs w:val="24"/>
        </w:rPr>
        <w:lastRenderedPageBreak/>
        <w:t>de recursos de campanha e o apoio insuficiente dos partidos políticos</w:t>
      </w:r>
      <w:r w:rsidR="00201CAC" w:rsidRPr="00884B8E">
        <w:rPr>
          <w:rFonts w:ascii="Arial" w:eastAsia="Arial" w:hAnsi="Arial" w:cs="Arial"/>
          <w:sz w:val="24"/>
          <w:szCs w:val="24"/>
        </w:rPr>
        <w:t xml:space="preserve">, o que </w:t>
      </w:r>
      <w:r w:rsidRPr="00884B8E">
        <w:rPr>
          <w:rFonts w:ascii="Arial" w:eastAsia="Arial" w:hAnsi="Arial" w:cs="Arial"/>
          <w:sz w:val="24"/>
          <w:szCs w:val="24"/>
        </w:rPr>
        <w:t>dificulta a competitividade e por consequência o sucesso eleitoral das candidatas.</w:t>
      </w:r>
    </w:p>
    <w:p w14:paraId="66262F46" w14:textId="06FAB864"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A representação feminina é crucial não apenas por uma questão de equidade, mas também por influenciar a agenda política e a formulação de políticas públicas mais inclusivas (</w:t>
      </w:r>
      <w:r w:rsidR="000209C3" w:rsidRPr="00884B8E">
        <w:rPr>
          <w:rFonts w:ascii="Arial" w:eastAsia="Arial" w:hAnsi="Arial" w:cs="Arial"/>
          <w:sz w:val="24"/>
          <w:szCs w:val="24"/>
        </w:rPr>
        <w:t>Sacchet</w:t>
      </w:r>
      <w:r w:rsidR="00504435" w:rsidRPr="00884B8E">
        <w:rPr>
          <w:rFonts w:ascii="Arial" w:eastAsia="Arial" w:hAnsi="Arial" w:cs="Arial"/>
          <w:sz w:val="24"/>
          <w:szCs w:val="24"/>
        </w:rPr>
        <w:t>,</w:t>
      </w:r>
      <w:r w:rsidRPr="00884B8E">
        <w:rPr>
          <w:rFonts w:ascii="Arial" w:eastAsia="Arial" w:hAnsi="Arial" w:cs="Arial"/>
          <w:sz w:val="24"/>
          <w:szCs w:val="24"/>
        </w:rPr>
        <w:t xml:space="preserve"> 2018). Pesquisas indicam que mulheres políticas tendem a priorizar questões relacionadas à saúde,</w:t>
      </w:r>
      <w:r w:rsidR="00FD6915" w:rsidRPr="00884B8E">
        <w:rPr>
          <w:rFonts w:ascii="Arial" w:eastAsia="Arial" w:hAnsi="Arial" w:cs="Arial"/>
          <w:sz w:val="24"/>
          <w:szCs w:val="24"/>
        </w:rPr>
        <w:t xml:space="preserve"> à</w:t>
      </w:r>
      <w:r w:rsidRPr="00884B8E">
        <w:rPr>
          <w:rFonts w:ascii="Arial" w:eastAsia="Arial" w:hAnsi="Arial" w:cs="Arial"/>
          <w:sz w:val="24"/>
          <w:szCs w:val="24"/>
        </w:rPr>
        <w:t xml:space="preserve"> educação e </w:t>
      </w:r>
      <w:r w:rsidR="00FD6915" w:rsidRPr="00884B8E">
        <w:rPr>
          <w:rFonts w:ascii="Arial" w:eastAsia="Arial" w:hAnsi="Arial" w:cs="Arial"/>
          <w:sz w:val="24"/>
          <w:szCs w:val="24"/>
        </w:rPr>
        <w:t xml:space="preserve">aos </w:t>
      </w:r>
      <w:r w:rsidRPr="00884B8E">
        <w:rPr>
          <w:rFonts w:ascii="Arial" w:eastAsia="Arial" w:hAnsi="Arial" w:cs="Arial"/>
          <w:sz w:val="24"/>
          <w:szCs w:val="24"/>
        </w:rPr>
        <w:t>direitos sociais, áreas de grande impacto para o desenvolvimento socioeconômico. Além disso, a presença feminina na política promove a diversidade de perspectivas, essencial para uma democracia robusta (</w:t>
      </w:r>
      <w:r w:rsidR="000209C3" w:rsidRPr="00884B8E">
        <w:rPr>
          <w:rFonts w:ascii="Arial" w:eastAsia="Arial" w:hAnsi="Arial" w:cs="Arial"/>
          <w:sz w:val="24"/>
          <w:szCs w:val="24"/>
        </w:rPr>
        <w:t xml:space="preserve">Krook, </w:t>
      </w:r>
      <w:r w:rsidR="00504435" w:rsidRPr="00884B8E">
        <w:rPr>
          <w:rFonts w:ascii="Arial" w:eastAsia="Arial" w:hAnsi="Arial" w:cs="Arial"/>
          <w:sz w:val="24"/>
          <w:szCs w:val="24"/>
        </w:rPr>
        <w:t>2020</w:t>
      </w:r>
      <w:r w:rsidRPr="00884B8E">
        <w:rPr>
          <w:rFonts w:ascii="Arial" w:eastAsia="Arial" w:hAnsi="Arial" w:cs="Arial"/>
          <w:sz w:val="24"/>
          <w:szCs w:val="24"/>
        </w:rPr>
        <w:t>).</w:t>
      </w:r>
    </w:p>
    <w:p w14:paraId="61F07B5A" w14:textId="77777777"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As mudanças institucionais desempenham um papel fundamental na definição do cenário eleitoral. Reformas eleitorais e ajustes nas regras de financiamento de campanhas são exemplos de como alterações nas normas podem moldar o comportamento dos partidos e dos eleitores.</w:t>
      </w:r>
    </w:p>
    <w:p w14:paraId="61B90D40" w14:textId="0E1B40A0"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A Emenda Constitucional nº 97/2017, que proibiu as coligações partidárias nas eleições proporcionais, é uma mudança significativa que buscou fortalecer os partidos políticos e reduzir a fragmentação partidária </w:t>
      </w:r>
      <w:r w:rsidR="000209C3" w:rsidRPr="00884B8E">
        <w:rPr>
          <w:rFonts w:ascii="Arial" w:eastAsia="Arial" w:hAnsi="Arial" w:cs="Arial"/>
          <w:sz w:val="24"/>
          <w:szCs w:val="24"/>
        </w:rPr>
        <w:t xml:space="preserve">(Brasil, </w:t>
      </w:r>
      <w:r w:rsidRPr="00884B8E">
        <w:rPr>
          <w:rFonts w:ascii="Arial" w:eastAsia="Arial" w:hAnsi="Arial" w:cs="Arial"/>
          <w:sz w:val="24"/>
          <w:szCs w:val="24"/>
        </w:rPr>
        <w:t xml:space="preserve">2017). No entanto, essa medida também teve implicações para a participação feminina, uma vez que as coligações eram frequentemente usadas para cumprir as cotas de gênero de </w:t>
      </w:r>
      <w:r w:rsidR="00FD6915" w:rsidRPr="00884B8E">
        <w:rPr>
          <w:rFonts w:ascii="Arial" w:eastAsia="Arial" w:hAnsi="Arial" w:cs="Arial"/>
          <w:sz w:val="24"/>
          <w:szCs w:val="24"/>
        </w:rPr>
        <w:t xml:space="preserve">modo </w:t>
      </w:r>
      <w:r w:rsidRPr="00884B8E">
        <w:rPr>
          <w:rFonts w:ascii="Arial" w:eastAsia="Arial" w:hAnsi="Arial" w:cs="Arial"/>
          <w:sz w:val="24"/>
          <w:szCs w:val="24"/>
        </w:rPr>
        <w:t>superficial, sem proporcionar apoio efetivo às candidatas</w:t>
      </w:r>
      <w:r w:rsidR="008E7C3B" w:rsidRPr="00884B8E">
        <w:rPr>
          <w:rFonts w:ascii="Arial" w:eastAsia="Arial" w:hAnsi="Arial" w:cs="Arial"/>
          <w:sz w:val="24"/>
          <w:szCs w:val="24"/>
        </w:rPr>
        <w:t xml:space="preserve"> (</w:t>
      </w:r>
      <w:r w:rsidR="000209C3" w:rsidRPr="00884B8E">
        <w:rPr>
          <w:rFonts w:ascii="Arial" w:eastAsia="Arial" w:hAnsi="Arial" w:cs="Arial"/>
          <w:sz w:val="24"/>
          <w:szCs w:val="24"/>
        </w:rPr>
        <w:t>Gortari</w:t>
      </w:r>
      <w:r w:rsidR="008E7C3B" w:rsidRPr="00884B8E">
        <w:rPr>
          <w:rFonts w:ascii="Arial" w:eastAsia="Arial" w:hAnsi="Arial" w:cs="Arial"/>
          <w:sz w:val="24"/>
          <w:szCs w:val="24"/>
        </w:rPr>
        <w:t>, 20</w:t>
      </w:r>
      <w:r w:rsidR="00AB6E53" w:rsidRPr="00884B8E">
        <w:rPr>
          <w:rFonts w:ascii="Arial" w:eastAsia="Arial" w:hAnsi="Arial" w:cs="Arial"/>
          <w:sz w:val="24"/>
          <w:szCs w:val="24"/>
        </w:rPr>
        <w:t>20</w:t>
      </w:r>
      <w:r w:rsidR="008E7C3B" w:rsidRPr="00884B8E">
        <w:rPr>
          <w:rFonts w:ascii="Arial" w:eastAsia="Arial" w:hAnsi="Arial" w:cs="Arial"/>
          <w:sz w:val="24"/>
          <w:szCs w:val="24"/>
        </w:rPr>
        <w:t>)</w:t>
      </w:r>
      <w:r w:rsidRPr="00884B8E">
        <w:rPr>
          <w:rFonts w:ascii="Arial" w:eastAsia="Arial" w:hAnsi="Arial" w:cs="Arial"/>
          <w:sz w:val="24"/>
          <w:szCs w:val="24"/>
        </w:rPr>
        <w:t>.</w:t>
      </w:r>
    </w:p>
    <w:p w14:paraId="133E3D20" w14:textId="281EDE53"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Outro aspecto importante foi a adoção do Fundo Especial de Financiamento de Campanha (FEFC), que visava promover uma distribuição mais equitativa de recursos entre os candidatos. Entretanto, a distribuição desses recursos ainda enfrenta desafios em termos de transparência e equidade de gênero (</w:t>
      </w:r>
      <w:r w:rsidR="000209C3" w:rsidRPr="00884B8E">
        <w:rPr>
          <w:rFonts w:ascii="Arial" w:eastAsia="Arial" w:hAnsi="Arial" w:cs="Arial"/>
          <w:sz w:val="24"/>
          <w:szCs w:val="24"/>
        </w:rPr>
        <w:t>Speck</w:t>
      </w:r>
      <w:r w:rsidRPr="00884B8E">
        <w:rPr>
          <w:rFonts w:ascii="Arial" w:eastAsia="Arial" w:hAnsi="Arial" w:cs="Arial"/>
          <w:sz w:val="24"/>
          <w:szCs w:val="24"/>
        </w:rPr>
        <w:t>, 2019). Estudos mostram que a alocação de fundos partidários ainda é predominantemente destinada a candidatos homens, perpetuando a desigualdade.</w:t>
      </w:r>
    </w:p>
    <w:p w14:paraId="55BBA52D" w14:textId="234B9E1B"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A implementação da cláusula de barreira, que estabelece um desempenho mínimo que partidos precisam alcançar para ter acesso a recursos públicos e tempo de propaganda, também impactou a dinâmica eleitoral (</w:t>
      </w:r>
      <w:r w:rsidR="000209C3" w:rsidRPr="00884B8E">
        <w:rPr>
          <w:rFonts w:ascii="Arial" w:eastAsia="Arial" w:hAnsi="Arial" w:cs="Arial"/>
          <w:sz w:val="24"/>
          <w:szCs w:val="24"/>
        </w:rPr>
        <w:t>Schmitt</w:t>
      </w:r>
      <w:r w:rsidRPr="00884B8E">
        <w:rPr>
          <w:rFonts w:ascii="Arial" w:eastAsia="Arial" w:hAnsi="Arial" w:cs="Arial"/>
          <w:sz w:val="24"/>
          <w:szCs w:val="24"/>
        </w:rPr>
        <w:t>, 2019). Embora essa medida tenha sido concebida para reduzir a fragmentação partidária e fortalecer o sistema político, ela também impôs novos desafios para partidos menores e para a inclusão de candidatos de grupos sub-representados, incluindo mulheres.</w:t>
      </w:r>
    </w:p>
    <w:p w14:paraId="1ABCA42A" w14:textId="454F44FE" w:rsidR="002A2CCD" w:rsidRPr="00884B8E" w:rsidRDefault="00897666">
      <w:pPr>
        <w:spacing w:after="0" w:line="360" w:lineRule="auto"/>
        <w:ind w:firstLine="697"/>
        <w:jc w:val="both"/>
        <w:rPr>
          <w:rFonts w:ascii="Arial" w:eastAsia="Arial" w:hAnsi="Arial" w:cs="Arial"/>
          <w:color w:val="000000" w:themeColor="text1"/>
          <w:sz w:val="24"/>
          <w:szCs w:val="24"/>
        </w:rPr>
      </w:pPr>
      <w:r w:rsidRPr="00884B8E">
        <w:rPr>
          <w:rFonts w:ascii="Arial" w:eastAsia="Arial" w:hAnsi="Arial" w:cs="Arial"/>
          <w:color w:val="000000" w:themeColor="text1"/>
          <w:sz w:val="24"/>
          <w:szCs w:val="24"/>
        </w:rPr>
        <w:t xml:space="preserve">Diversos foram os estudos realizados para compreender o impacto da pandemia nas eleições de 2020,  fenômeno sem precedentes </w:t>
      </w:r>
      <w:r w:rsidR="00FD6915" w:rsidRPr="00884B8E">
        <w:rPr>
          <w:rFonts w:ascii="Arial" w:eastAsia="Arial" w:hAnsi="Arial" w:cs="Arial"/>
          <w:color w:val="000000" w:themeColor="text1"/>
          <w:sz w:val="24"/>
          <w:szCs w:val="24"/>
        </w:rPr>
        <w:t xml:space="preserve">que </w:t>
      </w:r>
      <w:r w:rsidRPr="00884B8E">
        <w:rPr>
          <w:rFonts w:ascii="Arial" w:eastAsia="Arial" w:hAnsi="Arial" w:cs="Arial"/>
          <w:color w:val="000000" w:themeColor="text1"/>
          <w:sz w:val="24"/>
          <w:szCs w:val="24"/>
        </w:rPr>
        <w:t>torn</w:t>
      </w:r>
      <w:r w:rsidR="00FD6915" w:rsidRPr="00884B8E">
        <w:rPr>
          <w:rFonts w:ascii="Arial" w:eastAsia="Arial" w:hAnsi="Arial" w:cs="Arial"/>
          <w:color w:val="000000" w:themeColor="text1"/>
          <w:sz w:val="24"/>
          <w:szCs w:val="24"/>
        </w:rPr>
        <w:t xml:space="preserve">ou </w:t>
      </w:r>
      <w:r w:rsidRPr="00884B8E">
        <w:rPr>
          <w:rFonts w:ascii="Arial" w:eastAsia="Arial" w:hAnsi="Arial" w:cs="Arial"/>
          <w:color w:val="000000" w:themeColor="text1"/>
          <w:sz w:val="24"/>
          <w:szCs w:val="24"/>
        </w:rPr>
        <w:t xml:space="preserve">essa eleição singular em vários aspectos. Seja no âmbito do recrutamento de candidaturas, no </w:t>
      </w:r>
      <w:r w:rsidRPr="00884B8E">
        <w:rPr>
          <w:rFonts w:ascii="Arial" w:eastAsia="Arial" w:hAnsi="Arial" w:cs="Arial"/>
          <w:color w:val="000000" w:themeColor="text1"/>
          <w:sz w:val="24"/>
          <w:szCs w:val="24"/>
        </w:rPr>
        <w:lastRenderedPageBreak/>
        <w:t xml:space="preserve">financiamento e </w:t>
      </w:r>
      <w:r w:rsidR="00FD6915" w:rsidRPr="00884B8E">
        <w:rPr>
          <w:rFonts w:ascii="Arial" w:eastAsia="Arial" w:hAnsi="Arial" w:cs="Arial"/>
          <w:color w:val="000000" w:themeColor="text1"/>
          <w:sz w:val="24"/>
          <w:szCs w:val="24"/>
        </w:rPr>
        <w:t xml:space="preserve">na </w:t>
      </w:r>
      <w:r w:rsidRPr="00884B8E">
        <w:rPr>
          <w:rFonts w:ascii="Arial" w:eastAsia="Arial" w:hAnsi="Arial" w:cs="Arial"/>
          <w:color w:val="000000" w:themeColor="text1"/>
          <w:sz w:val="24"/>
          <w:szCs w:val="24"/>
        </w:rPr>
        <w:t xml:space="preserve">execução das campanhas, </w:t>
      </w:r>
      <w:r w:rsidR="00FD6915" w:rsidRPr="00884B8E">
        <w:rPr>
          <w:rFonts w:ascii="Arial" w:eastAsia="Arial" w:hAnsi="Arial" w:cs="Arial"/>
          <w:color w:val="000000" w:themeColor="text1"/>
          <w:sz w:val="24"/>
          <w:szCs w:val="24"/>
        </w:rPr>
        <w:t xml:space="preserve">bem como </w:t>
      </w:r>
      <w:r w:rsidRPr="00884B8E">
        <w:rPr>
          <w:rFonts w:ascii="Arial" w:eastAsia="Arial" w:hAnsi="Arial" w:cs="Arial"/>
          <w:color w:val="000000" w:themeColor="text1"/>
          <w:sz w:val="24"/>
          <w:szCs w:val="24"/>
        </w:rPr>
        <w:t>posteriormente na realização das eleições e no seu próprio resultado, todas estas etapas eleitorais foram impactadas profundamente pela pandemia.</w:t>
      </w:r>
    </w:p>
    <w:p w14:paraId="62F99C33" w14:textId="662AA45F"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A pandemia da </w:t>
      </w:r>
      <w:r w:rsidR="0035498B" w:rsidRPr="00884B8E">
        <w:rPr>
          <w:rFonts w:ascii="Arial" w:eastAsia="Arial" w:hAnsi="Arial" w:cs="Arial"/>
          <w:sz w:val="24"/>
          <w:szCs w:val="24"/>
        </w:rPr>
        <w:t>C</w:t>
      </w:r>
      <w:r w:rsidR="009F71D5" w:rsidRPr="00884B8E">
        <w:rPr>
          <w:rFonts w:ascii="Arial" w:eastAsia="Arial" w:hAnsi="Arial" w:cs="Arial"/>
          <w:sz w:val="24"/>
          <w:szCs w:val="24"/>
        </w:rPr>
        <w:t>ovid</w:t>
      </w:r>
      <w:r w:rsidR="0035498B" w:rsidRPr="00884B8E">
        <w:rPr>
          <w:rFonts w:ascii="Arial" w:eastAsia="Arial" w:hAnsi="Arial" w:cs="Arial"/>
          <w:sz w:val="24"/>
          <w:szCs w:val="24"/>
        </w:rPr>
        <w:t>-19</w:t>
      </w:r>
      <w:r w:rsidRPr="00884B8E">
        <w:rPr>
          <w:rFonts w:ascii="Arial" w:eastAsia="Arial" w:hAnsi="Arial" w:cs="Arial"/>
          <w:sz w:val="24"/>
          <w:szCs w:val="24"/>
        </w:rPr>
        <w:t xml:space="preserve"> introduziu um novo conjunto de desafios para o processo eleitoral. As medidas de distanciamento social e as restrições de mobilidade afetaram profundamente a dinâmica das campanhas eleitorais, obrigando candidatos e partidos a adaptarem suas estratégias. A digitalização das campanhas se tornou essencial, com maior uso de mídias sociais e outras plataformas digitais para comunicação com os eleitores (</w:t>
      </w:r>
      <w:r w:rsidR="000209C3" w:rsidRPr="00884B8E">
        <w:rPr>
          <w:rFonts w:ascii="Arial" w:eastAsia="Arial" w:hAnsi="Arial" w:cs="Arial"/>
          <w:sz w:val="24"/>
          <w:szCs w:val="24"/>
        </w:rPr>
        <w:t>Barberia; Cantarelli</w:t>
      </w:r>
      <w:r w:rsidRPr="00884B8E">
        <w:rPr>
          <w:rFonts w:ascii="Arial" w:eastAsia="Arial" w:hAnsi="Arial" w:cs="Arial"/>
          <w:sz w:val="24"/>
          <w:szCs w:val="24"/>
        </w:rPr>
        <w:t>, 2020). No entanto, essa transição não foi uniforme e exacerbou desigualdades preexistentes. Candidatos com maior acesso a recursos tecnológicos e conhecimento digital conseguiram adaptar-se mais rapidamente, enquanto aqueles com menos recursos enfrentaram dificuldades significativas.</w:t>
      </w:r>
    </w:p>
    <w:p w14:paraId="1CEA3289" w14:textId="749BE41C"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Para as mulheres, a pandemia impôs desafios adicionais. As responsabilidades domésticas e de cuidado que geram uma dupla ou até tripla jornada, exacerbadas pela crise sanitária, limitaram ainda mais o tempo e os recursos disponíveis para a participação política (</w:t>
      </w:r>
      <w:r w:rsidR="000209C3" w:rsidRPr="00884B8E">
        <w:rPr>
          <w:rFonts w:ascii="Arial" w:eastAsia="Arial" w:hAnsi="Arial" w:cs="Arial"/>
          <w:sz w:val="24"/>
          <w:szCs w:val="24"/>
        </w:rPr>
        <w:t>Cunha</w:t>
      </w:r>
      <w:r w:rsidRPr="00884B8E">
        <w:rPr>
          <w:rFonts w:ascii="Arial" w:eastAsia="Arial" w:hAnsi="Arial" w:cs="Arial"/>
          <w:sz w:val="24"/>
          <w:szCs w:val="24"/>
        </w:rPr>
        <w:t xml:space="preserve"> </w:t>
      </w:r>
      <w:r w:rsidRPr="00E92F0C">
        <w:rPr>
          <w:rFonts w:ascii="Arial" w:eastAsia="Arial" w:hAnsi="Arial" w:cs="Arial"/>
          <w:i/>
          <w:iCs/>
          <w:sz w:val="24"/>
          <w:szCs w:val="24"/>
        </w:rPr>
        <w:t>et al</w:t>
      </w:r>
      <w:r w:rsidRPr="00884B8E">
        <w:rPr>
          <w:rFonts w:ascii="Arial" w:eastAsia="Arial" w:hAnsi="Arial" w:cs="Arial"/>
          <w:sz w:val="24"/>
          <w:szCs w:val="24"/>
        </w:rPr>
        <w:t xml:space="preserve">., 2021). Além disso, a violência política de gênero, amplificada pelo anonimato e </w:t>
      </w:r>
      <w:r w:rsidR="00FD6915" w:rsidRPr="00884B8E">
        <w:rPr>
          <w:rFonts w:ascii="Arial" w:eastAsia="Arial" w:hAnsi="Arial" w:cs="Arial"/>
          <w:sz w:val="24"/>
          <w:szCs w:val="24"/>
        </w:rPr>
        <w:t>pel</w:t>
      </w:r>
      <w:r w:rsidRPr="00884B8E">
        <w:rPr>
          <w:rFonts w:ascii="Arial" w:eastAsia="Arial" w:hAnsi="Arial" w:cs="Arial"/>
          <w:sz w:val="24"/>
          <w:szCs w:val="24"/>
        </w:rPr>
        <w:t xml:space="preserve">a disseminação de desinformação nas redes sociais, </w:t>
      </w:r>
      <w:r w:rsidR="00FD6915" w:rsidRPr="00884B8E">
        <w:rPr>
          <w:rFonts w:ascii="Arial" w:eastAsia="Arial" w:hAnsi="Arial" w:cs="Arial"/>
          <w:sz w:val="24"/>
          <w:szCs w:val="24"/>
        </w:rPr>
        <w:t>tornou</w:t>
      </w:r>
      <w:r w:rsidRPr="00884B8E">
        <w:rPr>
          <w:rFonts w:ascii="Arial" w:eastAsia="Arial" w:hAnsi="Arial" w:cs="Arial"/>
          <w:sz w:val="24"/>
          <w:szCs w:val="24"/>
        </w:rPr>
        <w:t xml:space="preserve">-se </w:t>
      </w:r>
      <w:r w:rsidR="00FD6915" w:rsidRPr="00884B8E">
        <w:rPr>
          <w:rFonts w:ascii="Arial" w:eastAsia="Arial" w:hAnsi="Arial" w:cs="Arial"/>
          <w:sz w:val="24"/>
          <w:szCs w:val="24"/>
        </w:rPr>
        <w:t xml:space="preserve">um </w:t>
      </w:r>
      <w:r w:rsidRPr="00884B8E">
        <w:rPr>
          <w:rFonts w:ascii="Arial" w:eastAsia="Arial" w:hAnsi="Arial" w:cs="Arial"/>
          <w:sz w:val="24"/>
          <w:szCs w:val="24"/>
        </w:rPr>
        <w:t>obstáculo ainda mais significativo. Estudos mostram que as mulheres são alvo de ataques mais frequentes e intensos nas redes sociais, o que contribuiu para a desmobilização de candidaturas femininas (</w:t>
      </w:r>
      <w:r w:rsidR="000209C3" w:rsidRPr="00884B8E">
        <w:rPr>
          <w:rFonts w:ascii="Arial" w:eastAsia="Arial" w:hAnsi="Arial" w:cs="Arial"/>
          <w:sz w:val="24"/>
          <w:szCs w:val="24"/>
        </w:rPr>
        <w:t>Ward; Mcloughlin</w:t>
      </w:r>
      <w:r w:rsidRPr="00884B8E">
        <w:rPr>
          <w:rFonts w:ascii="Arial" w:eastAsia="Arial" w:hAnsi="Arial" w:cs="Arial"/>
          <w:sz w:val="24"/>
          <w:szCs w:val="24"/>
        </w:rPr>
        <w:t>, 2020).</w:t>
      </w:r>
    </w:p>
    <w:p w14:paraId="5FA17BB9" w14:textId="7E01DF58"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A pandemia também teve implicações institucionais, levando a adiamentos de eleições e adaptações logísticas para garantir a segurança dos eleitores e dos trabalhadores eleitorais. Essas mudanças impactaram a percepção pública sobre a legitimidade do processo eleitoral e destacaram a importância de sistemas eleitorais resilientes e adaptáveis (</w:t>
      </w:r>
      <w:r w:rsidR="000209C3" w:rsidRPr="00884B8E">
        <w:rPr>
          <w:rFonts w:ascii="Arial" w:eastAsia="Arial" w:hAnsi="Arial" w:cs="Arial"/>
          <w:sz w:val="24"/>
          <w:szCs w:val="24"/>
        </w:rPr>
        <w:t>Norris</w:t>
      </w:r>
      <w:r w:rsidRPr="00884B8E">
        <w:rPr>
          <w:rFonts w:ascii="Arial" w:eastAsia="Arial" w:hAnsi="Arial" w:cs="Arial"/>
          <w:sz w:val="24"/>
          <w:szCs w:val="24"/>
        </w:rPr>
        <w:t>, 2020). Além disso, a necessidade de votação remota ou por correspondência em algumas jurisdições levantou questões sobre a acessibilidade e a segurança do processo eleitoral, afetando a confiança dos eleitores.</w:t>
      </w:r>
    </w:p>
    <w:p w14:paraId="51144CC3" w14:textId="7978FC63" w:rsidR="002A2CCD" w:rsidRPr="00884B8E" w:rsidRDefault="00897666">
      <w:pPr>
        <w:spacing w:after="0" w:line="360" w:lineRule="auto"/>
        <w:ind w:firstLine="697"/>
        <w:jc w:val="both"/>
        <w:rPr>
          <w:rFonts w:ascii="Arial" w:eastAsia="Arial" w:hAnsi="Arial" w:cs="Arial"/>
          <w:color w:val="000000" w:themeColor="text1"/>
          <w:sz w:val="24"/>
          <w:szCs w:val="24"/>
        </w:rPr>
      </w:pPr>
      <w:r w:rsidRPr="00884B8E">
        <w:rPr>
          <w:rFonts w:ascii="Arial" w:eastAsia="Arial" w:hAnsi="Arial" w:cs="Arial"/>
          <w:color w:val="000000" w:themeColor="text1"/>
          <w:sz w:val="24"/>
          <w:szCs w:val="24"/>
        </w:rPr>
        <w:t>Todos esses fatores citados também levaram, direta e indiretamente, ao aumento da taxa de abstenção nas eleições municipais de 2020. Em estudo realizado</w:t>
      </w:r>
      <w:r w:rsidR="00844D08" w:rsidRPr="00884B8E">
        <w:rPr>
          <w:rFonts w:ascii="Arial" w:eastAsia="Arial" w:hAnsi="Arial" w:cs="Arial"/>
          <w:color w:val="000000" w:themeColor="text1"/>
          <w:sz w:val="24"/>
          <w:szCs w:val="24"/>
        </w:rPr>
        <w:t>,</w:t>
      </w:r>
      <w:r w:rsidRPr="00884B8E">
        <w:rPr>
          <w:rFonts w:ascii="Arial" w:eastAsia="Arial" w:hAnsi="Arial" w:cs="Arial"/>
          <w:color w:val="000000" w:themeColor="text1"/>
          <w:sz w:val="24"/>
          <w:szCs w:val="24"/>
        </w:rPr>
        <w:t xml:space="preserve"> </w:t>
      </w:r>
      <w:r w:rsidR="007F046E" w:rsidRPr="00884B8E">
        <w:rPr>
          <w:rFonts w:ascii="Arial" w:eastAsia="Arial" w:hAnsi="Arial" w:cs="Arial"/>
          <w:color w:val="000000" w:themeColor="text1"/>
          <w:sz w:val="24"/>
          <w:szCs w:val="24"/>
        </w:rPr>
        <w:t xml:space="preserve">é </w:t>
      </w:r>
      <w:r w:rsidRPr="00884B8E">
        <w:rPr>
          <w:rFonts w:ascii="Arial" w:eastAsia="Arial" w:hAnsi="Arial" w:cs="Arial"/>
          <w:color w:val="000000" w:themeColor="text1"/>
          <w:sz w:val="24"/>
          <w:szCs w:val="24"/>
        </w:rPr>
        <w:t>trata</w:t>
      </w:r>
      <w:r w:rsidR="007F046E" w:rsidRPr="00884B8E">
        <w:rPr>
          <w:rFonts w:ascii="Arial" w:eastAsia="Arial" w:hAnsi="Arial" w:cs="Arial"/>
          <w:color w:val="000000" w:themeColor="text1"/>
          <w:sz w:val="24"/>
          <w:szCs w:val="24"/>
        </w:rPr>
        <w:t>do</w:t>
      </w:r>
      <w:r w:rsidRPr="00884B8E">
        <w:rPr>
          <w:rFonts w:ascii="Arial" w:eastAsia="Arial" w:hAnsi="Arial" w:cs="Arial"/>
          <w:color w:val="000000" w:themeColor="text1"/>
          <w:sz w:val="24"/>
          <w:szCs w:val="24"/>
        </w:rPr>
        <w:t xml:space="preserve"> especificamente dos números acerca da abstenção, votos brancos e nulos nas eleições municipais de 2020. Segundo a análise, ao se comparar as abstenções das eleições de 2020</w:t>
      </w:r>
      <w:r w:rsidR="00FD6915" w:rsidRPr="00884B8E">
        <w:rPr>
          <w:rFonts w:ascii="Arial" w:eastAsia="Arial" w:hAnsi="Arial" w:cs="Arial"/>
          <w:color w:val="000000" w:themeColor="text1"/>
          <w:sz w:val="24"/>
          <w:szCs w:val="24"/>
        </w:rPr>
        <w:t>,</w:t>
      </w:r>
      <w:r w:rsidRPr="00884B8E">
        <w:rPr>
          <w:rFonts w:ascii="Arial" w:eastAsia="Arial" w:hAnsi="Arial" w:cs="Arial"/>
          <w:color w:val="000000" w:themeColor="text1"/>
          <w:sz w:val="24"/>
          <w:szCs w:val="24"/>
        </w:rPr>
        <w:t xml:space="preserve"> verificou-se um recorde muito acima da tendência nas eleições passadas. Ele aponta também que esse crescimento não se deve a indicadores </w:t>
      </w:r>
      <w:r w:rsidRPr="00884B8E">
        <w:rPr>
          <w:rFonts w:ascii="Arial" w:eastAsia="Arial" w:hAnsi="Arial" w:cs="Arial"/>
          <w:color w:val="000000" w:themeColor="text1"/>
          <w:sz w:val="24"/>
          <w:szCs w:val="24"/>
        </w:rPr>
        <w:lastRenderedPageBreak/>
        <w:t xml:space="preserve">sociais, das regras institucionais eleitorais ou do engajamento do eleitorado, mas sim </w:t>
      </w:r>
      <w:r w:rsidR="00FD6915" w:rsidRPr="00884B8E">
        <w:rPr>
          <w:rFonts w:ascii="Arial" w:eastAsia="Arial" w:hAnsi="Arial" w:cs="Arial"/>
          <w:color w:val="000000" w:themeColor="text1"/>
          <w:sz w:val="24"/>
          <w:szCs w:val="24"/>
        </w:rPr>
        <w:t>d</w:t>
      </w:r>
      <w:r w:rsidRPr="00884B8E">
        <w:rPr>
          <w:rFonts w:ascii="Arial" w:eastAsia="Arial" w:hAnsi="Arial" w:cs="Arial"/>
          <w:color w:val="000000" w:themeColor="text1"/>
          <w:sz w:val="24"/>
          <w:szCs w:val="24"/>
        </w:rPr>
        <w:t xml:space="preserve">o contexto da pandemia de </w:t>
      </w:r>
      <w:r w:rsidR="0035498B" w:rsidRPr="00884B8E">
        <w:rPr>
          <w:rFonts w:ascii="Arial" w:eastAsia="Arial" w:hAnsi="Arial" w:cs="Arial"/>
          <w:color w:val="000000" w:themeColor="text1"/>
          <w:sz w:val="24"/>
          <w:szCs w:val="24"/>
        </w:rPr>
        <w:t>C</w:t>
      </w:r>
      <w:r w:rsidR="009F71D5" w:rsidRPr="00884B8E">
        <w:rPr>
          <w:rFonts w:ascii="Arial" w:eastAsia="Arial" w:hAnsi="Arial" w:cs="Arial"/>
          <w:color w:val="000000" w:themeColor="text1"/>
          <w:sz w:val="24"/>
          <w:szCs w:val="24"/>
        </w:rPr>
        <w:t>ovid</w:t>
      </w:r>
      <w:r w:rsidR="0035498B" w:rsidRPr="00884B8E">
        <w:rPr>
          <w:rFonts w:ascii="Arial" w:eastAsia="Arial" w:hAnsi="Arial" w:cs="Arial"/>
          <w:color w:val="000000" w:themeColor="text1"/>
          <w:sz w:val="24"/>
          <w:szCs w:val="24"/>
        </w:rPr>
        <w:t>-19</w:t>
      </w:r>
      <w:r w:rsidRPr="00884B8E">
        <w:rPr>
          <w:rFonts w:ascii="Arial" w:eastAsia="Arial" w:hAnsi="Arial" w:cs="Arial"/>
          <w:color w:val="000000" w:themeColor="text1"/>
          <w:sz w:val="24"/>
          <w:szCs w:val="24"/>
        </w:rPr>
        <w:t xml:space="preserve"> (</w:t>
      </w:r>
      <w:r w:rsidR="000209C3" w:rsidRPr="00884B8E">
        <w:rPr>
          <w:rFonts w:ascii="Arial" w:eastAsia="Arial" w:hAnsi="Arial" w:cs="Arial"/>
          <w:color w:val="000000" w:themeColor="text1"/>
          <w:sz w:val="24"/>
          <w:szCs w:val="24"/>
        </w:rPr>
        <w:t>Barreto</w:t>
      </w:r>
      <w:r w:rsidRPr="00884B8E">
        <w:rPr>
          <w:rFonts w:ascii="Arial" w:eastAsia="Arial" w:hAnsi="Arial" w:cs="Arial"/>
          <w:color w:val="000000" w:themeColor="text1"/>
          <w:sz w:val="24"/>
          <w:szCs w:val="24"/>
        </w:rPr>
        <w:t>, 2021).</w:t>
      </w:r>
    </w:p>
    <w:p w14:paraId="12D1A58A" w14:textId="1AA95EF9" w:rsidR="002A2CCD" w:rsidRPr="00884B8E" w:rsidRDefault="00897666">
      <w:pPr>
        <w:spacing w:after="0" w:line="360" w:lineRule="auto"/>
        <w:ind w:firstLine="697"/>
        <w:jc w:val="both"/>
        <w:rPr>
          <w:rFonts w:ascii="Arial" w:eastAsia="Arial" w:hAnsi="Arial" w:cs="Arial"/>
          <w:color w:val="000000" w:themeColor="text1"/>
          <w:sz w:val="24"/>
          <w:szCs w:val="24"/>
        </w:rPr>
      </w:pPr>
      <w:r w:rsidRPr="00884B8E">
        <w:rPr>
          <w:rFonts w:ascii="Arial" w:eastAsia="Arial" w:hAnsi="Arial" w:cs="Arial"/>
          <w:color w:val="000000" w:themeColor="text1"/>
          <w:sz w:val="24"/>
          <w:szCs w:val="24"/>
        </w:rPr>
        <w:t>Segundo dados do TSE, se comparado com as três últimas eleições</w:t>
      </w:r>
      <w:r w:rsidR="00FD6915" w:rsidRPr="00884B8E">
        <w:rPr>
          <w:rFonts w:ascii="Arial" w:eastAsia="Arial" w:hAnsi="Arial" w:cs="Arial"/>
          <w:color w:val="000000" w:themeColor="text1"/>
          <w:sz w:val="24"/>
          <w:szCs w:val="24"/>
        </w:rPr>
        <w:t>,</w:t>
      </w:r>
      <w:r w:rsidRPr="00884B8E">
        <w:rPr>
          <w:rFonts w:ascii="Arial" w:eastAsia="Arial" w:hAnsi="Arial" w:cs="Arial"/>
          <w:color w:val="000000" w:themeColor="text1"/>
          <w:sz w:val="24"/>
          <w:szCs w:val="24"/>
        </w:rPr>
        <w:t xml:space="preserve"> a abstenção vem numa crescente desde 2016, </w:t>
      </w:r>
      <w:r w:rsidR="00FD6915" w:rsidRPr="00884B8E">
        <w:rPr>
          <w:rFonts w:ascii="Arial" w:eastAsia="Arial" w:hAnsi="Arial" w:cs="Arial"/>
          <w:color w:val="000000" w:themeColor="text1"/>
          <w:sz w:val="24"/>
          <w:szCs w:val="24"/>
        </w:rPr>
        <w:t>sendo</w:t>
      </w:r>
      <w:r w:rsidRPr="00884B8E">
        <w:rPr>
          <w:rFonts w:ascii="Arial" w:eastAsia="Arial" w:hAnsi="Arial" w:cs="Arial"/>
          <w:color w:val="000000" w:themeColor="text1"/>
          <w:sz w:val="24"/>
          <w:szCs w:val="24"/>
        </w:rPr>
        <w:t xml:space="preserve"> respectivamente de 17,58% </w:t>
      </w:r>
      <w:r w:rsidR="00FD6915" w:rsidRPr="00884B8E">
        <w:rPr>
          <w:rFonts w:ascii="Arial" w:eastAsia="Arial" w:hAnsi="Arial" w:cs="Arial"/>
          <w:color w:val="000000" w:themeColor="text1"/>
          <w:sz w:val="24"/>
          <w:szCs w:val="24"/>
        </w:rPr>
        <w:t xml:space="preserve">nesse </w:t>
      </w:r>
      <w:r w:rsidRPr="00884B8E">
        <w:rPr>
          <w:rFonts w:ascii="Arial" w:eastAsia="Arial" w:hAnsi="Arial" w:cs="Arial"/>
          <w:color w:val="000000" w:themeColor="text1"/>
          <w:sz w:val="24"/>
          <w:szCs w:val="24"/>
        </w:rPr>
        <w:t>ano, seguida de 20,32% em 2018 e 23,15% em 2020. Nessa sequência</w:t>
      </w:r>
      <w:r w:rsidR="00FD6915" w:rsidRPr="00884B8E">
        <w:rPr>
          <w:rFonts w:ascii="Arial" w:eastAsia="Arial" w:hAnsi="Arial" w:cs="Arial"/>
          <w:color w:val="000000" w:themeColor="text1"/>
          <w:sz w:val="24"/>
          <w:szCs w:val="24"/>
        </w:rPr>
        <w:t>,</w:t>
      </w:r>
      <w:r w:rsidRPr="00884B8E">
        <w:rPr>
          <w:rFonts w:ascii="Arial" w:eastAsia="Arial" w:hAnsi="Arial" w:cs="Arial"/>
          <w:color w:val="000000" w:themeColor="text1"/>
          <w:sz w:val="24"/>
          <w:szCs w:val="24"/>
        </w:rPr>
        <w:t xml:space="preserve"> percebeu-se aumento exponencial da variação absoluta, em que 2020 superou em 2,83 pontos percentuais a abstenção nas eleições de 2018 e em 5,57 pontos percentuais as eleições anteriores de 2016 (</w:t>
      </w:r>
      <w:r w:rsidR="000209C3" w:rsidRPr="00884B8E">
        <w:rPr>
          <w:rFonts w:ascii="Arial" w:eastAsia="Arial" w:hAnsi="Arial" w:cs="Arial"/>
          <w:color w:val="000000" w:themeColor="text1"/>
          <w:sz w:val="24"/>
          <w:szCs w:val="24"/>
        </w:rPr>
        <w:t>Barreto</w:t>
      </w:r>
      <w:r w:rsidRPr="00884B8E">
        <w:rPr>
          <w:rFonts w:ascii="Arial" w:eastAsia="Arial" w:hAnsi="Arial" w:cs="Arial"/>
          <w:color w:val="000000" w:themeColor="text1"/>
          <w:sz w:val="24"/>
          <w:szCs w:val="24"/>
        </w:rPr>
        <w:t>, 2021).</w:t>
      </w:r>
    </w:p>
    <w:p w14:paraId="2536A115" w14:textId="4A69CD97" w:rsidR="00B359B4" w:rsidRPr="00884B8E" w:rsidRDefault="00897666">
      <w:pPr>
        <w:spacing w:after="0" w:line="360" w:lineRule="auto"/>
        <w:ind w:firstLine="697"/>
        <w:contextualSpacing/>
        <w:jc w:val="both"/>
        <w:rPr>
          <w:rFonts w:ascii="Arial" w:eastAsia="Arial" w:hAnsi="Arial" w:cs="Arial"/>
          <w:color w:val="000000" w:themeColor="text1"/>
          <w:sz w:val="24"/>
          <w:szCs w:val="24"/>
        </w:rPr>
      </w:pPr>
      <w:r w:rsidRPr="00884B8E">
        <w:rPr>
          <w:rFonts w:ascii="Arial" w:eastAsia="Arial" w:hAnsi="Arial" w:cs="Arial"/>
          <w:color w:val="000000" w:themeColor="text1"/>
          <w:sz w:val="24"/>
          <w:szCs w:val="24"/>
        </w:rPr>
        <w:t xml:space="preserve">O Gráfico 1 esquematiza a taxa de abstenção no 1º turno das últimas 12 eleições (nacionais, estaduais e municipais) realizadas no país, correspondentes ao período 1998-2020. As eleições compreendidas </w:t>
      </w:r>
      <w:r w:rsidR="00FD6915" w:rsidRPr="00884B8E">
        <w:rPr>
          <w:rFonts w:ascii="Arial" w:eastAsia="Arial" w:hAnsi="Arial" w:cs="Arial"/>
          <w:color w:val="000000" w:themeColor="text1"/>
          <w:sz w:val="24"/>
          <w:szCs w:val="24"/>
        </w:rPr>
        <w:t xml:space="preserve">nesse </w:t>
      </w:r>
      <w:r w:rsidRPr="00884B8E">
        <w:rPr>
          <w:rFonts w:ascii="Arial" w:eastAsia="Arial" w:hAnsi="Arial" w:cs="Arial"/>
          <w:color w:val="000000" w:themeColor="text1"/>
          <w:sz w:val="24"/>
          <w:szCs w:val="24"/>
        </w:rPr>
        <w:t>recorte histórico correspondem às eleições nacionais e estaduais (1998, 2002, 2006, 2010, 2014, 2018) e municipais (2000, 2004, 2008, 2012, 2016 e 2020). Pleitos considerados não plenamente compatíveis considerando suas dimensões e atribuições, contudo podemos extrair uma tendência eleitoral, considerando sua organização e eleitorado (</w:t>
      </w:r>
      <w:r w:rsidR="000209C3" w:rsidRPr="00884B8E">
        <w:rPr>
          <w:rFonts w:ascii="Arial" w:eastAsia="Arial" w:hAnsi="Arial" w:cs="Arial"/>
          <w:color w:val="000000" w:themeColor="text1"/>
          <w:sz w:val="24"/>
          <w:szCs w:val="24"/>
        </w:rPr>
        <w:t>Barreto</w:t>
      </w:r>
      <w:r w:rsidRPr="00884B8E">
        <w:rPr>
          <w:rFonts w:ascii="Arial" w:eastAsia="Arial" w:hAnsi="Arial" w:cs="Arial"/>
          <w:color w:val="000000" w:themeColor="text1"/>
          <w:sz w:val="24"/>
          <w:szCs w:val="24"/>
        </w:rPr>
        <w:t>, 2021).</w:t>
      </w:r>
    </w:p>
    <w:p w14:paraId="75D59AF6" w14:textId="77777777" w:rsidR="00B359B4" w:rsidRPr="00884B8E" w:rsidRDefault="00B359B4">
      <w:pPr>
        <w:spacing w:after="0" w:line="360" w:lineRule="auto"/>
        <w:ind w:firstLine="697"/>
        <w:contextualSpacing/>
        <w:jc w:val="both"/>
        <w:rPr>
          <w:rFonts w:ascii="Arial" w:eastAsia="Arial" w:hAnsi="Arial" w:cs="Arial"/>
          <w:color w:val="000000" w:themeColor="text1"/>
          <w:sz w:val="24"/>
          <w:szCs w:val="24"/>
        </w:rPr>
      </w:pPr>
    </w:p>
    <w:p w14:paraId="6BD3B516" w14:textId="745B5FFA" w:rsidR="00B359B4" w:rsidRPr="00884B8E" w:rsidRDefault="00897666" w:rsidP="00B359B4">
      <w:pPr>
        <w:spacing w:after="0" w:line="360" w:lineRule="auto"/>
        <w:contextualSpacing/>
        <w:jc w:val="center"/>
        <w:rPr>
          <w:rFonts w:ascii="Arial" w:eastAsia="Arial" w:hAnsi="Arial" w:cs="Arial"/>
          <w:color w:val="000000" w:themeColor="text1"/>
          <w:sz w:val="20"/>
          <w:szCs w:val="20"/>
        </w:rPr>
      </w:pPr>
      <w:r w:rsidRPr="00884B8E">
        <w:rPr>
          <w:rFonts w:ascii="Arial" w:eastAsia="Arial" w:hAnsi="Arial" w:cs="Arial"/>
          <w:color w:val="000000" w:themeColor="text1"/>
          <w:sz w:val="24"/>
          <w:szCs w:val="24"/>
        </w:rPr>
        <w:t xml:space="preserve"> </w:t>
      </w:r>
      <w:r w:rsidR="00B359B4" w:rsidRPr="00884B8E">
        <w:rPr>
          <w:rFonts w:ascii="Arial" w:eastAsia="Arial" w:hAnsi="Arial" w:cs="Arial"/>
          <w:color w:val="000000" w:themeColor="text1"/>
          <w:sz w:val="20"/>
          <w:szCs w:val="20"/>
        </w:rPr>
        <w:t xml:space="preserve">Gráfico 1 </w:t>
      </w:r>
      <w:r w:rsidR="00FD6915" w:rsidRPr="00884B8E">
        <w:rPr>
          <w:rFonts w:ascii="Arial" w:eastAsia="Arial" w:hAnsi="Arial" w:cs="Arial"/>
          <w:color w:val="000000" w:themeColor="text1"/>
          <w:sz w:val="20"/>
          <w:szCs w:val="20"/>
        </w:rPr>
        <w:t xml:space="preserve">– </w:t>
      </w:r>
      <w:r w:rsidR="00B359B4" w:rsidRPr="00884B8E">
        <w:rPr>
          <w:rFonts w:ascii="Arial" w:eastAsia="Arial" w:hAnsi="Arial" w:cs="Arial"/>
          <w:color w:val="000000" w:themeColor="text1"/>
          <w:sz w:val="20"/>
          <w:szCs w:val="20"/>
        </w:rPr>
        <w:t>Taxa de abstenção no 1° turno das eleições (Brasil, 1998-2020)</w:t>
      </w:r>
    </w:p>
    <w:p w14:paraId="0C4FBB62" w14:textId="6F0A0F40" w:rsidR="00755CE2" w:rsidRPr="00E92F0C" w:rsidRDefault="008909E9" w:rsidP="00755CE2">
      <w:pPr>
        <w:spacing w:after="0" w:line="360" w:lineRule="auto"/>
        <w:contextualSpacing/>
        <w:jc w:val="center"/>
        <w:rPr>
          <w:rFonts w:ascii="Arial" w:hAnsi="Arial" w:cs="Arial"/>
        </w:rPr>
      </w:pPr>
      <w:r w:rsidRPr="00E92F0C">
        <w:rPr>
          <w:rFonts w:ascii="Arial" w:hAnsi="Arial" w:cs="Arial"/>
          <w:noProof/>
        </w:rPr>
        <w:drawing>
          <wp:inline distT="0" distB="0" distL="0" distR="0" wp14:anchorId="2FDF1774" wp14:editId="02597967">
            <wp:extent cx="5326380" cy="3040380"/>
            <wp:effectExtent l="0" t="0" r="7620" b="7620"/>
            <wp:docPr id="3" name="Imagem 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linhas&#10;&#10;Descrição gerada automaticament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5954" t="9286" r="1576"/>
                    <a:stretch/>
                  </pic:blipFill>
                  <pic:spPr bwMode="auto">
                    <a:xfrm>
                      <a:off x="0" y="0"/>
                      <a:ext cx="5326380" cy="3040380"/>
                    </a:xfrm>
                    <a:prstGeom prst="rect">
                      <a:avLst/>
                    </a:prstGeom>
                    <a:ln>
                      <a:noFill/>
                    </a:ln>
                    <a:extLst>
                      <a:ext uri="{53640926-AAD7-44D8-BBD7-CCE9431645EC}">
                        <a14:shadowObscured xmlns:a14="http://schemas.microsoft.com/office/drawing/2010/main"/>
                      </a:ext>
                    </a:extLst>
                  </pic:spPr>
                </pic:pic>
              </a:graphicData>
            </a:graphic>
          </wp:inline>
        </w:drawing>
      </w:r>
    </w:p>
    <w:p w14:paraId="13C95C44" w14:textId="7BD8B667" w:rsidR="002A2CCD" w:rsidRPr="00884B8E" w:rsidRDefault="00897666">
      <w:pPr>
        <w:spacing w:after="0" w:line="360" w:lineRule="auto"/>
        <w:contextualSpacing/>
        <w:jc w:val="center"/>
        <w:rPr>
          <w:rFonts w:ascii="Arial" w:eastAsia="Arial" w:hAnsi="Arial" w:cs="Arial"/>
          <w:color w:val="000000" w:themeColor="text1"/>
          <w:sz w:val="20"/>
          <w:szCs w:val="20"/>
        </w:rPr>
      </w:pPr>
      <w:r w:rsidRPr="00884B8E">
        <w:rPr>
          <w:rFonts w:ascii="Arial" w:eastAsia="Arial" w:hAnsi="Arial" w:cs="Arial"/>
          <w:color w:val="000000" w:themeColor="text1"/>
          <w:sz w:val="20"/>
          <w:szCs w:val="20"/>
        </w:rPr>
        <w:t xml:space="preserve">Fonte: Barreto </w:t>
      </w:r>
      <w:r w:rsidR="00755CE2" w:rsidRPr="00884B8E">
        <w:rPr>
          <w:rFonts w:ascii="Arial" w:eastAsia="Arial" w:hAnsi="Arial" w:cs="Arial"/>
          <w:color w:val="000000" w:themeColor="text1"/>
          <w:sz w:val="20"/>
          <w:szCs w:val="20"/>
        </w:rPr>
        <w:t>(</w:t>
      </w:r>
      <w:r w:rsidRPr="00884B8E">
        <w:rPr>
          <w:rFonts w:ascii="Arial" w:eastAsia="Arial" w:hAnsi="Arial" w:cs="Arial"/>
          <w:color w:val="000000" w:themeColor="text1"/>
          <w:sz w:val="20"/>
          <w:szCs w:val="20"/>
        </w:rPr>
        <w:t>2021</w:t>
      </w:r>
      <w:r w:rsidR="00755CE2" w:rsidRPr="00884B8E">
        <w:rPr>
          <w:rFonts w:ascii="Arial" w:eastAsia="Arial" w:hAnsi="Arial" w:cs="Arial"/>
          <w:color w:val="000000" w:themeColor="text1"/>
          <w:sz w:val="20"/>
          <w:szCs w:val="20"/>
        </w:rPr>
        <w:t>)</w:t>
      </w:r>
      <w:r w:rsidR="00FD6915" w:rsidRPr="00884B8E">
        <w:rPr>
          <w:rFonts w:ascii="Arial" w:eastAsia="Arial" w:hAnsi="Arial" w:cs="Arial"/>
          <w:color w:val="000000" w:themeColor="text1"/>
          <w:sz w:val="20"/>
          <w:szCs w:val="20"/>
        </w:rPr>
        <w:t>.</w:t>
      </w:r>
      <w:r w:rsidRPr="00884B8E">
        <w:rPr>
          <w:rFonts w:ascii="Arial" w:eastAsia="Arial" w:hAnsi="Arial" w:cs="Arial"/>
          <w:color w:val="000000" w:themeColor="text1"/>
          <w:sz w:val="20"/>
          <w:szCs w:val="20"/>
        </w:rPr>
        <w:t xml:space="preserve"> </w:t>
      </w:r>
    </w:p>
    <w:p w14:paraId="2EE549BD" w14:textId="77777777" w:rsidR="002A2CCD" w:rsidRPr="00884B8E" w:rsidRDefault="002A2CCD">
      <w:pPr>
        <w:spacing w:after="0" w:line="360" w:lineRule="auto"/>
        <w:jc w:val="both"/>
        <w:rPr>
          <w:rFonts w:ascii="Arial" w:eastAsia="Arial" w:hAnsi="Arial" w:cs="Arial"/>
          <w:color w:val="980000"/>
          <w:sz w:val="24"/>
          <w:szCs w:val="24"/>
        </w:rPr>
      </w:pPr>
    </w:p>
    <w:p w14:paraId="2D4A9182" w14:textId="15A2535C"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A interseção entre participação feminina, mudanças institucionais e pandemia revela um panorama complexo e interconectado. A implementação de cotas de gênero e fundos de campanha são esforços institucionais que visam aumentar a </w:t>
      </w:r>
      <w:r w:rsidRPr="00884B8E">
        <w:rPr>
          <w:rFonts w:ascii="Arial" w:eastAsia="Arial" w:hAnsi="Arial" w:cs="Arial"/>
          <w:sz w:val="24"/>
          <w:szCs w:val="24"/>
        </w:rPr>
        <w:lastRenderedPageBreak/>
        <w:t>representação feminina. No entanto, sem um apoio adequado e um compromisso real dos partidos políticos, essas medidas correm o risco de ser insuficientes.</w:t>
      </w:r>
    </w:p>
    <w:p w14:paraId="20BCE465" w14:textId="24D1090D"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A pandemia </w:t>
      </w:r>
      <w:r w:rsidR="00FD6915" w:rsidRPr="00884B8E">
        <w:rPr>
          <w:rFonts w:ascii="Arial" w:eastAsia="Arial" w:hAnsi="Arial" w:cs="Arial"/>
          <w:sz w:val="24"/>
          <w:szCs w:val="24"/>
        </w:rPr>
        <w:t xml:space="preserve">de </w:t>
      </w:r>
      <w:r w:rsidR="0035498B" w:rsidRPr="00884B8E">
        <w:rPr>
          <w:rFonts w:ascii="Arial" w:eastAsia="Arial" w:hAnsi="Arial" w:cs="Arial"/>
          <w:sz w:val="24"/>
          <w:szCs w:val="24"/>
        </w:rPr>
        <w:t>C</w:t>
      </w:r>
      <w:r w:rsidR="006A44F9" w:rsidRPr="00884B8E">
        <w:rPr>
          <w:rFonts w:ascii="Arial" w:eastAsia="Arial" w:hAnsi="Arial" w:cs="Arial"/>
          <w:sz w:val="24"/>
          <w:szCs w:val="24"/>
        </w:rPr>
        <w:t>ovid</w:t>
      </w:r>
      <w:r w:rsidR="0035498B" w:rsidRPr="00884B8E">
        <w:rPr>
          <w:rFonts w:ascii="Arial" w:eastAsia="Arial" w:hAnsi="Arial" w:cs="Arial"/>
          <w:sz w:val="24"/>
          <w:szCs w:val="24"/>
        </w:rPr>
        <w:t>-19</w:t>
      </w:r>
      <w:r w:rsidRPr="00884B8E">
        <w:rPr>
          <w:rFonts w:ascii="Arial" w:eastAsia="Arial" w:hAnsi="Arial" w:cs="Arial"/>
          <w:sz w:val="24"/>
          <w:szCs w:val="24"/>
        </w:rPr>
        <w:t xml:space="preserve"> destacou e exacerbou desigualdades existentes, incluindo as de gênero, </w:t>
      </w:r>
      <w:r w:rsidR="00FD6915" w:rsidRPr="00884B8E">
        <w:rPr>
          <w:rFonts w:ascii="Arial" w:eastAsia="Arial" w:hAnsi="Arial" w:cs="Arial"/>
          <w:sz w:val="24"/>
          <w:szCs w:val="24"/>
        </w:rPr>
        <w:t xml:space="preserve">o que </w:t>
      </w:r>
      <w:r w:rsidRPr="00884B8E">
        <w:rPr>
          <w:rFonts w:ascii="Arial" w:eastAsia="Arial" w:hAnsi="Arial" w:cs="Arial"/>
          <w:sz w:val="24"/>
          <w:szCs w:val="24"/>
        </w:rPr>
        <w:t>torn</w:t>
      </w:r>
      <w:r w:rsidR="00FD6915" w:rsidRPr="00884B8E">
        <w:rPr>
          <w:rFonts w:ascii="Arial" w:eastAsia="Arial" w:hAnsi="Arial" w:cs="Arial"/>
          <w:sz w:val="24"/>
          <w:szCs w:val="24"/>
        </w:rPr>
        <w:t xml:space="preserve">ou </w:t>
      </w:r>
      <w:r w:rsidRPr="00884B8E">
        <w:rPr>
          <w:rFonts w:ascii="Arial" w:eastAsia="Arial" w:hAnsi="Arial" w:cs="Arial"/>
          <w:sz w:val="24"/>
          <w:szCs w:val="24"/>
        </w:rPr>
        <w:t>ainda mais urgente a necessidade de políticas e reformas que promovam uma participação equitativa. A adaptação das campanhas eleitorais ao contexto digital criou oportunidades, mas também novos desafios, que precisam ser abordados de maneira inclusiva.</w:t>
      </w:r>
    </w:p>
    <w:p w14:paraId="0992CB10" w14:textId="77777777"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 A combinação desses fatores aponta para a necessidade de uma abordagem integrada para promover a equidade de gênero nas eleições. Isso inclui reformas institucionais que garantam não apenas a presença, mas a efetiva participação e competitividade das mulheres na política, bem como uma adaptação às novas realidades impostas por crises como a pandemia.</w:t>
      </w:r>
    </w:p>
    <w:p w14:paraId="0C4985DE" w14:textId="1798917B" w:rsidR="00634F8F"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Dado o contexto apresentado, algumas recomendações se fazem necessárias para aprimorar a participação feminina nas eleições, considerando as mudanças institucionais e os efeitos da pandemia: é crucial que os partidos políticos implementem políticas de apoio mais robustas para candidatas mulheres, </w:t>
      </w:r>
      <w:r w:rsidR="00FD6915" w:rsidRPr="00884B8E">
        <w:rPr>
          <w:rFonts w:ascii="Arial" w:eastAsia="Arial" w:hAnsi="Arial" w:cs="Arial"/>
          <w:sz w:val="24"/>
          <w:szCs w:val="24"/>
        </w:rPr>
        <w:t xml:space="preserve">a fim de </w:t>
      </w:r>
      <w:r w:rsidRPr="00884B8E">
        <w:rPr>
          <w:rFonts w:ascii="Arial" w:eastAsia="Arial" w:hAnsi="Arial" w:cs="Arial"/>
          <w:sz w:val="24"/>
          <w:szCs w:val="24"/>
        </w:rPr>
        <w:t>garanti</w:t>
      </w:r>
      <w:r w:rsidR="00FD6915" w:rsidRPr="00884B8E">
        <w:rPr>
          <w:rFonts w:ascii="Arial" w:eastAsia="Arial" w:hAnsi="Arial" w:cs="Arial"/>
          <w:sz w:val="24"/>
          <w:szCs w:val="24"/>
        </w:rPr>
        <w:t xml:space="preserve">r </w:t>
      </w:r>
      <w:r w:rsidRPr="00884B8E">
        <w:rPr>
          <w:rFonts w:ascii="Arial" w:eastAsia="Arial" w:hAnsi="Arial" w:cs="Arial"/>
          <w:sz w:val="24"/>
          <w:szCs w:val="24"/>
        </w:rPr>
        <w:t>acesso equitativo a recursos financeiros e logísticos, além de programas de mentoria e treinamento específicos (</w:t>
      </w:r>
      <w:r w:rsidR="000209C3" w:rsidRPr="00884B8E">
        <w:rPr>
          <w:rFonts w:ascii="Arial" w:eastAsia="Arial" w:hAnsi="Arial" w:cs="Arial"/>
          <w:sz w:val="24"/>
          <w:szCs w:val="24"/>
        </w:rPr>
        <w:t>Piscopo</w:t>
      </w:r>
      <w:r w:rsidRPr="00884B8E">
        <w:rPr>
          <w:rFonts w:ascii="Arial" w:eastAsia="Arial" w:hAnsi="Arial" w:cs="Arial"/>
          <w:sz w:val="24"/>
          <w:szCs w:val="24"/>
        </w:rPr>
        <w:t>, 2019). A transparência na distribuição dos recursos do Fundo Especial de Financiamento de Campanha deve ser aumentada, com mecanismos de monitoramento que assegurem a alocação equitativa entre os candidatos de ambos os gêneros (</w:t>
      </w:r>
      <w:r w:rsidR="000209C3" w:rsidRPr="00884B8E">
        <w:rPr>
          <w:rFonts w:ascii="Arial" w:eastAsia="Arial" w:hAnsi="Arial" w:cs="Arial"/>
          <w:sz w:val="24"/>
          <w:szCs w:val="24"/>
        </w:rPr>
        <w:t>Wylie</w:t>
      </w:r>
      <w:r w:rsidRPr="00884B8E">
        <w:rPr>
          <w:rFonts w:ascii="Arial" w:eastAsia="Arial" w:hAnsi="Arial" w:cs="Arial"/>
          <w:sz w:val="24"/>
          <w:szCs w:val="24"/>
        </w:rPr>
        <w:t xml:space="preserve">, 2020). </w:t>
      </w:r>
    </w:p>
    <w:p w14:paraId="5F84EC84" w14:textId="61E2529F"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Diante da digitalização acelerada pela pandemia, é essencial promover a alfabetização digital entre as candidatas e garantir acesso igualitário a tecnologias de campanha, com parcerias de organizações não governamentais e iniciativas de tecnologia desempenhando um</w:t>
      </w:r>
      <w:r w:rsidR="00FD6915" w:rsidRPr="00884B8E">
        <w:rPr>
          <w:rFonts w:ascii="Arial" w:eastAsia="Arial" w:hAnsi="Arial" w:cs="Arial"/>
          <w:sz w:val="24"/>
          <w:szCs w:val="24"/>
        </w:rPr>
        <w:t xml:space="preserve"> </w:t>
      </w:r>
      <w:r w:rsidRPr="00884B8E">
        <w:rPr>
          <w:rFonts w:ascii="Arial" w:eastAsia="Arial" w:hAnsi="Arial" w:cs="Arial"/>
          <w:sz w:val="24"/>
          <w:szCs w:val="24"/>
        </w:rPr>
        <w:t>papel importante nesse processo (</w:t>
      </w:r>
      <w:r w:rsidR="000209C3" w:rsidRPr="00884B8E">
        <w:rPr>
          <w:rFonts w:ascii="Arial" w:eastAsia="Arial" w:hAnsi="Arial" w:cs="Arial"/>
          <w:sz w:val="24"/>
          <w:szCs w:val="24"/>
        </w:rPr>
        <w:t xml:space="preserve">Gallagher; Marsden, </w:t>
      </w:r>
      <w:r w:rsidRPr="00884B8E">
        <w:rPr>
          <w:rFonts w:ascii="Arial" w:eastAsia="Arial" w:hAnsi="Arial" w:cs="Arial"/>
          <w:sz w:val="24"/>
          <w:szCs w:val="24"/>
        </w:rPr>
        <w:t>2020). Medidas efetivas devem ser implementadas para combater a violência política de gênero, incluindo legislações mais rígidas, campanhas de conscientização e mecanismos de apoio às vítimas (</w:t>
      </w:r>
      <w:r w:rsidR="000209C3" w:rsidRPr="00884B8E">
        <w:rPr>
          <w:rFonts w:ascii="Arial" w:eastAsia="Arial" w:hAnsi="Arial" w:cs="Arial"/>
          <w:sz w:val="24"/>
          <w:szCs w:val="24"/>
        </w:rPr>
        <w:t>Krook; Sanín</w:t>
      </w:r>
      <w:r w:rsidRPr="00884B8E">
        <w:rPr>
          <w:rFonts w:ascii="Arial" w:eastAsia="Arial" w:hAnsi="Arial" w:cs="Arial"/>
          <w:sz w:val="24"/>
          <w:szCs w:val="24"/>
        </w:rPr>
        <w:t>, 2020).</w:t>
      </w:r>
    </w:p>
    <w:p w14:paraId="09727DA4" w14:textId="63D32445"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As reformas eleitorais devem considerar os impactos sobre a diversidade e inclusão, com revisão periódica das cotas de gênero e adaptação das cláusulas de barreira para assegurar que as mudanças institucionais não perpetuem a exclusão de grupos sub-representados (</w:t>
      </w:r>
      <w:r w:rsidR="000209C3" w:rsidRPr="00884B8E">
        <w:rPr>
          <w:rFonts w:ascii="Arial" w:eastAsia="Arial" w:hAnsi="Arial" w:cs="Arial"/>
          <w:sz w:val="24"/>
          <w:szCs w:val="24"/>
        </w:rPr>
        <w:t>Schwindt-Bayer</w:t>
      </w:r>
      <w:r w:rsidRPr="00884B8E">
        <w:rPr>
          <w:rFonts w:ascii="Arial" w:eastAsia="Arial" w:hAnsi="Arial" w:cs="Arial"/>
          <w:sz w:val="24"/>
          <w:szCs w:val="24"/>
        </w:rPr>
        <w:t xml:space="preserve">, 2018). Ademais, a pesquisa contínua e o monitoramento das práticas eleitorais são essenciais para identificar barreiras e oportunidades para a participação feminina, com instituições acadêmicas e </w:t>
      </w:r>
      <w:r w:rsidRPr="00884B8E">
        <w:rPr>
          <w:rFonts w:ascii="Arial" w:eastAsia="Arial" w:hAnsi="Arial" w:cs="Arial"/>
          <w:sz w:val="24"/>
          <w:szCs w:val="24"/>
        </w:rPr>
        <w:lastRenderedPageBreak/>
        <w:t>organizações de monitoramento eleitoral desempenhando um papel vital na coleta e análise de dados (</w:t>
      </w:r>
      <w:r w:rsidR="000209C3" w:rsidRPr="00884B8E">
        <w:rPr>
          <w:rFonts w:ascii="Arial" w:eastAsia="Arial" w:hAnsi="Arial" w:cs="Arial"/>
          <w:sz w:val="24"/>
          <w:szCs w:val="24"/>
        </w:rPr>
        <w:t>Murray</w:t>
      </w:r>
      <w:r w:rsidRPr="00884B8E">
        <w:rPr>
          <w:rFonts w:ascii="Arial" w:eastAsia="Arial" w:hAnsi="Arial" w:cs="Arial"/>
          <w:sz w:val="24"/>
          <w:szCs w:val="24"/>
        </w:rPr>
        <w:t xml:space="preserve">, 2020). </w:t>
      </w:r>
    </w:p>
    <w:p w14:paraId="084AAF75" w14:textId="3C586780" w:rsidR="002A2CCD" w:rsidRPr="00884B8E" w:rsidRDefault="00897666">
      <w:pPr>
        <w:spacing w:after="0" w:line="360" w:lineRule="auto"/>
        <w:ind w:firstLine="697"/>
        <w:jc w:val="both"/>
        <w:rPr>
          <w:rFonts w:ascii="Arial" w:eastAsia="Arial" w:hAnsi="Arial" w:cs="Arial"/>
          <w:sz w:val="24"/>
          <w:szCs w:val="24"/>
        </w:rPr>
      </w:pPr>
      <w:r w:rsidRPr="00884B8E">
        <w:rPr>
          <w:rFonts w:ascii="Arial" w:eastAsia="Arial" w:hAnsi="Arial" w:cs="Arial"/>
          <w:sz w:val="24"/>
          <w:szCs w:val="24"/>
        </w:rPr>
        <w:t xml:space="preserve">A participação feminina, as mudanças institucionais e a pandemia são elementos cruciais que moldam o cenário eleitoral contemporâneo. Apesar dos avanços institucionais, a sub-representação das mulheres na política persiste como um desafio significativo. As reformas eleitorais e as novas normas de financiamento são passos importantes, mas ainda insuficientes para garantir uma participação equitativa. A pandemia </w:t>
      </w:r>
      <w:r w:rsidR="00FD6915" w:rsidRPr="00884B8E">
        <w:rPr>
          <w:rFonts w:ascii="Arial" w:eastAsia="Arial" w:hAnsi="Arial" w:cs="Arial"/>
          <w:sz w:val="24"/>
          <w:szCs w:val="24"/>
        </w:rPr>
        <w:t xml:space="preserve">de </w:t>
      </w:r>
      <w:r w:rsidR="0035498B" w:rsidRPr="00884B8E">
        <w:rPr>
          <w:rFonts w:ascii="Arial" w:eastAsia="Arial" w:hAnsi="Arial" w:cs="Arial"/>
          <w:sz w:val="24"/>
          <w:szCs w:val="24"/>
        </w:rPr>
        <w:t>C</w:t>
      </w:r>
      <w:r w:rsidR="00CF2FEF" w:rsidRPr="00884B8E">
        <w:rPr>
          <w:rFonts w:ascii="Arial" w:eastAsia="Arial" w:hAnsi="Arial" w:cs="Arial"/>
          <w:sz w:val="24"/>
          <w:szCs w:val="24"/>
        </w:rPr>
        <w:t>ovid</w:t>
      </w:r>
      <w:r w:rsidR="0035498B" w:rsidRPr="00884B8E">
        <w:rPr>
          <w:rFonts w:ascii="Arial" w:eastAsia="Arial" w:hAnsi="Arial" w:cs="Arial"/>
          <w:sz w:val="24"/>
          <w:szCs w:val="24"/>
        </w:rPr>
        <w:t>-19</w:t>
      </w:r>
      <w:r w:rsidRPr="00884B8E">
        <w:rPr>
          <w:rFonts w:ascii="Arial" w:eastAsia="Arial" w:hAnsi="Arial" w:cs="Arial"/>
          <w:sz w:val="24"/>
          <w:szCs w:val="24"/>
        </w:rPr>
        <w:t xml:space="preserve"> introduziu desafios adicionais, </w:t>
      </w:r>
      <w:r w:rsidR="000A21B1" w:rsidRPr="00884B8E">
        <w:rPr>
          <w:rFonts w:ascii="Arial" w:eastAsia="Arial" w:hAnsi="Arial" w:cs="Arial"/>
          <w:sz w:val="24"/>
          <w:szCs w:val="24"/>
        </w:rPr>
        <w:t xml:space="preserve">exacerbou </w:t>
      </w:r>
      <w:r w:rsidRPr="00884B8E">
        <w:rPr>
          <w:rFonts w:ascii="Arial" w:eastAsia="Arial" w:hAnsi="Arial" w:cs="Arial"/>
          <w:sz w:val="24"/>
          <w:szCs w:val="24"/>
        </w:rPr>
        <w:t>desigualdades e imp</w:t>
      </w:r>
      <w:r w:rsidR="000A21B1" w:rsidRPr="00884B8E">
        <w:rPr>
          <w:rFonts w:ascii="Arial" w:eastAsia="Arial" w:hAnsi="Arial" w:cs="Arial"/>
          <w:sz w:val="24"/>
          <w:szCs w:val="24"/>
        </w:rPr>
        <w:t>ôs</w:t>
      </w:r>
      <w:r w:rsidRPr="00884B8E">
        <w:rPr>
          <w:rFonts w:ascii="Arial" w:eastAsia="Arial" w:hAnsi="Arial" w:cs="Arial"/>
          <w:sz w:val="24"/>
          <w:szCs w:val="24"/>
        </w:rPr>
        <w:t xml:space="preserve"> novas dinâmicas à campanha eleitoral. A interseção desses fatores destaca a complexidade do processo eleitoral e a necessidade de abordagens integradas que promovam a equidade de gênero de maneira efetiva e sustentável, tendo em vista a implementação de políticas robustas, a transparência nos processos e o combate à violência política.</w:t>
      </w:r>
    </w:p>
    <w:p w14:paraId="48B2C2BD" w14:textId="77777777" w:rsidR="000A21B1" w:rsidRPr="00884B8E" w:rsidRDefault="00897666" w:rsidP="008F6498">
      <w:pPr>
        <w:spacing w:after="0" w:line="360" w:lineRule="auto"/>
        <w:ind w:firstLine="697"/>
        <w:jc w:val="both"/>
        <w:rPr>
          <w:rFonts w:ascii="Arial" w:eastAsia="Arial" w:hAnsi="Arial" w:cs="Arial"/>
          <w:color w:val="0D0D0D"/>
          <w:sz w:val="24"/>
          <w:szCs w:val="24"/>
          <w:highlight w:val="white"/>
        </w:rPr>
      </w:pPr>
      <w:r w:rsidRPr="00884B8E">
        <w:rPr>
          <w:rFonts w:ascii="Arial" w:eastAsia="Arial" w:hAnsi="Arial" w:cs="Arial"/>
          <w:color w:val="0D0D0D"/>
          <w:sz w:val="24"/>
          <w:szCs w:val="24"/>
          <w:highlight w:val="white"/>
        </w:rPr>
        <w:t xml:space="preserve">Considerando essas recomendações, é essencial explorar como as candidaturas e o desempenho feminino se manifestaram nas eleições municipais de 2020 no Brasil. </w:t>
      </w:r>
    </w:p>
    <w:p w14:paraId="2AB1CEBE" w14:textId="38B2F6ED" w:rsidR="002A2CCD" w:rsidRPr="00884B8E" w:rsidRDefault="00897666" w:rsidP="008F6498">
      <w:pPr>
        <w:spacing w:after="0" w:line="360" w:lineRule="auto"/>
        <w:ind w:firstLine="697"/>
        <w:jc w:val="both"/>
        <w:rPr>
          <w:rFonts w:ascii="Arial" w:eastAsia="Arial" w:hAnsi="Arial" w:cs="Arial"/>
          <w:color w:val="0D0D0D"/>
          <w:sz w:val="24"/>
          <w:szCs w:val="24"/>
        </w:rPr>
      </w:pPr>
      <w:r w:rsidRPr="00884B8E">
        <w:rPr>
          <w:rFonts w:ascii="Arial" w:eastAsia="Arial" w:hAnsi="Arial" w:cs="Arial"/>
          <w:color w:val="0D0D0D"/>
          <w:sz w:val="24"/>
          <w:szCs w:val="24"/>
          <w:highlight w:val="white"/>
        </w:rPr>
        <w:t>Na próxima seção, analisaremos os avanços obtidos pelas mulheres no cenário político municipal, além de avaliar a eficácia das políticas de apoio implementadas, as mudanças institucionais e</w:t>
      </w:r>
      <w:r w:rsidR="000A21B1" w:rsidRPr="00884B8E">
        <w:rPr>
          <w:rFonts w:ascii="Arial" w:eastAsia="Arial" w:hAnsi="Arial" w:cs="Arial"/>
          <w:color w:val="0D0D0D"/>
          <w:sz w:val="24"/>
          <w:szCs w:val="24"/>
          <w:highlight w:val="white"/>
        </w:rPr>
        <w:t xml:space="preserve"> como isso, em conjunto à </w:t>
      </w:r>
      <w:r w:rsidRPr="00884B8E">
        <w:rPr>
          <w:rFonts w:ascii="Arial" w:eastAsia="Arial" w:hAnsi="Arial" w:cs="Arial"/>
          <w:color w:val="0D0D0D"/>
          <w:sz w:val="24"/>
          <w:szCs w:val="24"/>
          <w:highlight w:val="white"/>
        </w:rPr>
        <w:t>pandemia</w:t>
      </w:r>
      <w:r w:rsidR="000A21B1" w:rsidRPr="00884B8E">
        <w:rPr>
          <w:rFonts w:ascii="Arial" w:eastAsia="Arial" w:hAnsi="Arial" w:cs="Arial"/>
          <w:color w:val="0D0D0D"/>
          <w:sz w:val="24"/>
          <w:szCs w:val="24"/>
          <w:highlight w:val="white"/>
        </w:rPr>
        <w:t>,</w:t>
      </w:r>
      <w:r w:rsidRPr="00884B8E">
        <w:rPr>
          <w:rFonts w:ascii="Arial" w:eastAsia="Arial" w:hAnsi="Arial" w:cs="Arial"/>
          <w:color w:val="0D0D0D"/>
          <w:sz w:val="24"/>
          <w:szCs w:val="24"/>
          <w:highlight w:val="white"/>
        </w:rPr>
        <w:t xml:space="preserve"> </w:t>
      </w:r>
      <w:r w:rsidR="000A21B1" w:rsidRPr="00884B8E">
        <w:rPr>
          <w:rFonts w:ascii="Arial" w:eastAsia="Arial" w:hAnsi="Arial" w:cs="Arial"/>
          <w:color w:val="0D0D0D"/>
          <w:sz w:val="24"/>
          <w:szCs w:val="24"/>
          <w:highlight w:val="white"/>
        </w:rPr>
        <w:t xml:space="preserve">afetou </w:t>
      </w:r>
      <w:r w:rsidRPr="00884B8E">
        <w:rPr>
          <w:rFonts w:ascii="Arial" w:eastAsia="Arial" w:hAnsi="Arial" w:cs="Arial"/>
          <w:color w:val="0D0D0D"/>
          <w:sz w:val="24"/>
          <w:szCs w:val="24"/>
          <w:highlight w:val="white"/>
        </w:rPr>
        <w:t xml:space="preserve">as candidaturas </w:t>
      </w:r>
      <w:r w:rsidR="000A21B1" w:rsidRPr="00884B8E">
        <w:rPr>
          <w:rFonts w:ascii="Arial" w:eastAsia="Arial" w:hAnsi="Arial" w:cs="Arial"/>
          <w:color w:val="0D0D0D"/>
          <w:sz w:val="24"/>
          <w:szCs w:val="24"/>
          <w:highlight w:val="white"/>
        </w:rPr>
        <w:t xml:space="preserve">delas </w:t>
      </w:r>
      <w:r w:rsidRPr="00884B8E">
        <w:rPr>
          <w:rFonts w:ascii="Arial" w:eastAsia="Arial" w:hAnsi="Arial" w:cs="Arial"/>
          <w:color w:val="0D0D0D"/>
          <w:sz w:val="24"/>
          <w:szCs w:val="24"/>
          <w:highlight w:val="white"/>
        </w:rPr>
        <w:t xml:space="preserve">e </w:t>
      </w:r>
      <w:r w:rsidR="000A21B1" w:rsidRPr="00884B8E">
        <w:rPr>
          <w:rFonts w:ascii="Arial" w:eastAsia="Arial" w:hAnsi="Arial" w:cs="Arial"/>
          <w:color w:val="0D0D0D"/>
          <w:sz w:val="24"/>
          <w:szCs w:val="24"/>
          <w:highlight w:val="white"/>
        </w:rPr>
        <w:t xml:space="preserve">o seu </w:t>
      </w:r>
      <w:r w:rsidRPr="00884B8E">
        <w:rPr>
          <w:rFonts w:ascii="Arial" w:eastAsia="Arial" w:hAnsi="Arial" w:cs="Arial"/>
          <w:color w:val="0D0D0D"/>
          <w:sz w:val="24"/>
          <w:szCs w:val="24"/>
          <w:highlight w:val="white"/>
        </w:rPr>
        <w:t>desempenho eleitoral.</w:t>
      </w:r>
    </w:p>
    <w:p w14:paraId="46823832" w14:textId="77777777" w:rsidR="000A21B1" w:rsidRPr="00884B8E" w:rsidRDefault="000A21B1" w:rsidP="008F6498">
      <w:pPr>
        <w:spacing w:after="0" w:line="360" w:lineRule="auto"/>
        <w:ind w:firstLine="697"/>
        <w:jc w:val="both"/>
        <w:rPr>
          <w:rFonts w:ascii="Arial" w:eastAsia="Arial" w:hAnsi="Arial" w:cs="Arial"/>
          <w:color w:val="0D0D0D"/>
          <w:sz w:val="24"/>
          <w:szCs w:val="24"/>
        </w:rPr>
      </w:pPr>
    </w:p>
    <w:p w14:paraId="17E0F21A" w14:textId="77777777" w:rsidR="008F6498" w:rsidRPr="00884B8E" w:rsidRDefault="008F6498" w:rsidP="008F6498">
      <w:pPr>
        <w:spacing w:after="0" w:line="240" w:lineRule="auto"/>
        <w:ind w:firstLine="697"/>
        <w:jc w:val="both"/>
        <w:rPr>
          <w:rFonts w:ascii="Arial" w:eastAsia="Arial" w:hAnsi="Arial" w:cs="Arial"/>
          <w:b/>
          <w:sz w:val="24"/>
          <w:szCs w:val="24"/>
        </w:rPr>
      </w:pPr>
    </w:p>
    <w:p w14:paraId="02551A41" w14:textId="77777777" w:rsidR="002A2CCD" w:rsidRPr="00884B8E" w:rsidRDefault="00897666" w:rsidP="008F6498">
      <w:pPr>
        <w:spacing w:line="240" w:lineRule="auto"/>
        <w:jc w:val="both"/>
        <w:rPr>
          <w:rFonts w:ascii="Arial" w:eastAsia="Arial" w:hAnsi="Arial" w:cs="Arial"/>
          <w:b/>
          <w:sz w:val="24"/>
          <w:szCs w:val="24"/>
        </w:rPr>
      </w:pPr>
      <w:r w:rsidRPr="00884B8E">
        <w:rPr>
          <w:rFonts w:ascii="Arial" w:eastAsia="Arial" w:hAnsi="Arial" w:cs="Arial"/>
          <w:b/>
          <w:sz w:val="24"/>
          <w:szCs w:val="24"/>
        </w:rPr>
        <w:t>2. CANDIDATURAS E DESEMPENHO FEMININO NO BRASIL: ELEIÇÕES MUNICIPAIS DE 2020</w:t>
      </w:r>
    </w:p>
    <w:p w14:paraId="15DCF12E" w14:textId="77777777" w:rsidR="002A2CCD" w:rsidRPr="00884B8E" w:rsidRDefault="002A2CCD">
      <w:pPr>
        <w:widowControl w:val="0"/>
        <w:pBdr>
          <w:top w:val="nil"/>
          <w:left w:val="nil"/>
          <w:bottom w:val="nil"/>
          <w:right w:val="nil"/>
          <w:between w:val="nil"/>
        </w:pBdr>
        <w:spacing w:before="11" w:after="0" w:line="240" w:lineRule="auto"/>
        <w:rPr>
          <w:rFonts w:ascii="Arial" w:eastAsia="Arial" w:hAnsi="Arial" w:cs="Arial"/>
          <w:b/>
          <w:color w:val="000000"/>
          <w:sz w:val="35"/>
          <w:szCs w:val="35"/>
        </w:rPr>
      </w:pPr>
    </w:p>
    <w:p w14:paraId="581D22B7" w14:textId="1DC93FD5" w:rsidR="002A2CCD" w:rsidRPr="00884B8E"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As eleições de 2020 foram marcadas por um fenômeno novo de ordem mundial, a pandemia </w:t>
      </w:r>
      <w:r w:rsidR="00BA5373" w:rsidRPr="00884B8E">
        <w:rPr>
          <w:rFonts w:ascii="Arial" w:eastAsia="Arial" w:hAnsi="Arial" w:cs="Arial"/>
          <w:color w:val="000000"/>
          <w:sz w:val="24"/>
          <w:szCs w:val="24"/>
        </w:rPr>
        <w:t xml:space="preserve">de </w:t>
      </w:r>
      <w:r w:rsidR="0035498B" w:rsidRPr="00884B8E">
        <w:rPr>
          <w:rFonts w:ascii="Arial" w:eastAsia="Arial" w:hAnsi="Arial" w:cs="Arial"/>
          <w:color w:val="000000"/>
          <w:sz w:val="24"/>
          <w:szCs w:val="24"/>
        </w:rPr>
        <w:t>C</w:t>
      </w:r>
      <w:r w:rsidR="000B0D84" w:rsidRPr="00884B8E">
        <w:rPr>
          <w:rFonts w:ascii="Arial" w:eastAsia="Arial" w:hAnsi="Arial" w:cs="Arial"/>
          <w:color w:val="000000"/>
          <w:sz w:val="24"/>
          <w:szCs w:val="24"/>
        </w:rPr>
        <w:t>ovid</w:t>
      </w:r>
      <w:r w:rsidR="0035498B" w:rsidRPr="00884B8E">
        <w:rPr>
          <w:rFonts w:ascii="Arial" w:eastAsia="Arial" w:hAnsi="Arial" w:cs="Arial"/>
          <w:color w:val="000000"/>
          <w:sz w:val="24"/>
          <w:szCs w:val="24"/>
        </w:rPr>
        <w:t>-19</w:t>
      </w:r>
      <w:r w:rsidRPr="00884B8E">
        <w:rPr>
          <w:rFonts w:ascii="Arial" w:eastAsia="Arial" w:hAnsi="Arial" w:cs="Arial"/>
          <w:color w:val="000000"/>
          <w:sz w:val="24"/>
          <w:szCs w:val="24"/>
        </w:rPr>
        <w:t>, que afetou o mundo nos mais diversos sentidos, incluindo as eleições municipais do Brasil. Uma das mudanças significativas esteve relacionada ao adiamento das datas das eleições, passando dos dias 4 e 25 de outubro para os dias 15 e 29 de novembro. Tal decisão tornou-se possível por meio da Emenda Constitucional n° 107, promulgada pelo Congresso Nacional em 2 de julho de 2020. A Emenda Constitucional aceitou, nesse panorama, as recomendações de segurança sanitária, a preservação de preceitos constitucionais democráticos</w:t>
      </w:r>
      <w:r w:rsidR="00BA5373"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incluindo o mandato popular e a manutenção das regras da disputa política eleitoral. Vale </w:t>
      </w:r>
      <w:r w:rsidRPr="00884B8E">
        <w:rPr>
          <w:rFonts w:ascii="Arial" w:eastAsia="Arial" w:hAnsi="Arial" w:cs="Arial"/>
          <w:color w:val="000000"/>
          <w:sz w:val="24"/>
          <w:szCs w:val="24"/>
        </w:rPr>
        <w:lastRenderedPageBreak/>
        <w:t>ressaltar que a modificação seguiu o retrato de mudança de calendário eleitoral realizada em ordem mundial, executada pela maioria dos países (</w:t>
      </w:r>
      <w:r w:rsidR="000209C3" w:rsidRPr="00884B8E">
        <w:rPr>
          <w:rFonts w:ascii="Arial" w:eastAsia="Arial" w:hAnsi="Arial" w:cs="Arial"/>
          <w:color w:val="000000"/>
          <w:sz w:val="24"/>
          <w:szCs w:val="24"/>
        </w:rPr>
        <w:t>Almeida</w:t>
      </w:r>
      <w:r w:rsidRPr="00884B8E">
        <w:rPr>
          <w:rFonts w:ascii="Arial" w:eastAsia="Arial" w:hAnsi="Arial" w:cs="Arial"/>
          <w:color w:val="000000"/>
          <w:sz w:val="24"/>
          <w:szCs w:val="24"/>
        </w:rPr>
        <w:t>, 2021).</w:t>
      </w:r>
    </w:p>
    <w:p w14:paraId="70C9AF61" w14:textId="79DF8785" w:rsidR="002A2CCD" w:rsidRPr="00884B8E" w:rsidRDefault="00897666">
      <w:pPr>
        <w:widowControl w:val="0"/>
        <w:pBdr>
          <w:top w:val="nil"/>
          <w:left w:val="nil"/>
          <w:bottom w:val="nil"/>
          <w:right w:val="nil"/>
          <w:between w:val="nil"/>
        </w:pBdr>
        <w:spacing w:before="1"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Nesse contexto pandêmico, registra-se que </w:t>
      </w:r>
      <w:r w:rsidR="00BA5373" w:rsidRPr="00884B8E">
        <w:rPr>
          <w:rFonts w:ascii="Arial" w:eastAsia="Arial" w:hAnsi="Arial" w:cs="Arial"/>
          <w:color w:val="000000"/>
          <w:sz w:val="24"/>
          <w:szCs w:val="24"/>
        </w:rPr>
        <w:t xml:space="preserve">aumentou </w:t>
      </w:r>
      <w:r w:rsidRPr="00884B8E">
        <w:rPr>
          <w:rFonts w:ascii="Arial" w:eastAsia="Arial" w:hAnsi="Arial" w:cs="Arial"/>
          <w:color w:val="000000"/>
          <w:sz w:val="24"/>
          <w:szCs w:val="24"/>
        </w:rPr>
        <w:t>o número de abstenções nas urnas nas eleições municipais, aferindo os dois últimos pleitos, como comprovado a seguir:</w:t>
      </w:r>
    </w:p>
    <w:p w14:paraId="045A0178" w14:textId="77777777" w:rsidR="002A2CCD" w:rsidRPr="00E92F0C" w:rsidRDefault="002A2CCD">
      <w:pPr>
        <w:widowControl w:val="0"/>
        <w:pBdr>
          <w:top w:val="nil"/>
          <w:left w:val="nil"/>
          <w:bottom w:val="nil"/>
          <w:right w:val="nil"/>
          <w:between w:val="nil"/>
        </w:pBdr>
        <w:spacing w:before="1" w:after="0" w:line="240" w:lineRule="auto"/>
        <w:rPr>
          <w:rFonts w:ascii="Arial" w:eastAsia="Times New Roman" w:hAnsi="Arial" w:cs="Arial"/>
          <w:color w:val="000000"/>
          <w:sz w:val="20"/>
          <w:szCs w:val="20"/>
        </w:rPr>
      </w:pPr>
    </w:p>
    <w:p w14:paraId="0BF71B5C" w14:textId="6DA3698F" w:rsidR="002A2CCD" w:rsidRPr="00884B8E" w:rsidRDefault="00897666">
      <w:pPr>
        <w:pStyle w:val="Ttulo1"/>
        <w:spacing w:before="0"/>
        <w:ind w:left="228" w:right="254"/>
        <w:rPr>
          <w:rFonts w:ascii="Arial" w:eastAsia="Arial" w:hAnsi="Arial" w:cs="Arial"/>
          <w:b w:val="0"/>
          <w:bCs w:val="0"/>
          <w:sz w:val="20"/>
          <w:szCs w:val="20"/>
        </w:rPr>
      </w:pPr>
      <w:bookmarkStart w:id="1" w:name="_heading=h.gjdgxs" w:colFirst="0" w:colLast="0"/>
      <w:bookmarkEnd w:id="1"/>
      <w:r w:rsidRPr="00884B8E">
        <w:rPr>
          <w:rFonts w:ascii="Arial" w:eastAsia="Arial" w:hAnsi="Arial" w:cs="Arial"/>
          <w:b w:val="0"/>
          <w:bCs w:val="0"/>
          <w:sz w:val="20"/>
          <w:szCs w:val="20"/>
        </w:rPr>
        <w:t xml:space="preserve">Tabela 1 </w:t>
      </w:r>
      <w:r w:rsidR="00BA5373"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 xml:space="preserve">Evolução do </w:t>
      </w:r>
      <w:r w:rsidR="005B3F4C" w:rsidRPr="00884B8E">
        <w:rPr>
          <w:rFonts w:ascii="Arial" w:eastAsia="Arial" w:hAnsi="Arial" w:cs="Arial"/>
          <w:b w:val="0"/>
          <w:bCs w:val="0"/>
          <w:sz w:val="20"/>
          <w:szCs w:val="20"/>
        </w:rPr>
        <w:t xml:space="preserve">quantitativo </w:t>
      </w:r>
      <w:r w:rsidRPr="00884B8E">
        <w:rPr>
          <w:rFonts w:ascii="Arial" w:eastAsia="Arial" w:hAnsi="Arial" w:cs="Arial"/>
          <w:b w:val="0"/>
          <w:bCs w:val="0"/>
          <w:sz w:val="20"/>
          <w:szCs w:val="20"/>
        </w:rPr>
        <w:t xml:space="preserve">de </w:t>
      </w:r>
      <w:r w:rsidR="005B3F4C" w:rsidRPr="00884B8E">
        <w:rPr>
          <w:rFonts w:ascii="Arial" w:eastAsia="Arial" w:hAnsi="Arial" w:cs="Arial"/>
          <w:b w:val="0"/>
          <w:bCs w:val="0"/>
          <w:sz w:val="20"/>
          <w:szCs w:val="20"/>
        </w:rPr>
        <w:t>comparecimento</w:t>
      </w:r>
      <w:r w:rsidRPr="00884B8E">
        <w:rPr>
          <w:rFonts w:ascii="Arial" w:eastAsia="Arial" w:hAnsi="Arial" w:cs="Arial"/>
          <w:b w:val="0"/>
          <w:bCs w:val="0"/>
          <w:sz w:val="20"/>
          <w:szCs w:val="20"/>
        </w:rPr>
        <w:t>/</w:t>
      </w:r>
      <w:r w:rsidR="005B3F4C" w:rsidRPr="00884B8E">
        <w:rPr>
          <w:rFonts w:ascii="Arial" w:eastAsia="Arial" w:hAnsi="Arial" w:cs="Arial"/>
          <w:b w:val="0"/>
          <w:bCs w:val="0"/>
          <w:sz w:val="20"/>
          <w:szCs w:val="20"/>
        </w:rPr>
        <w:t xml:space="preserve">abstenção </w:t>
      </w:r>
      <w:r w:rsidRPr="00884B8E">
        <w:rPr>
          <w:rFonts w:ascii="Arial" w:eastAsia="Arial" w:hAnsi="Arial" w:cs="Arial"/>
          <w:b w:val="0"/>
          <w:bCs w:val="0"/>
          <w:sz w:val="20"/>
          <w:szCs w:val="20"/>
        </w:rPr>
        <w:t>(Brasil)</w:t>
      </w:r>
    </w:p>
    <w:tbl>
      <w:tblPr>
        <w:tblStyle w:val="a7"/>
        <w:tblW w:w="8948"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65"/>
        <w:gridCol w:w="1701"/>
        <w:gridCol w:w="1701"/>
        <w:gridCol w:w="1134"/>
        <w:gridCol w:w="1134"/>
        <w:gridCol w:w="1020"/>
      </w:tblGrid>
      <w:tr w:rsidR="00BA5373" w:rsidRPr="00884B8E" w14:paraId="262D28E9" w14:textId="77777777" w:rsidTr="00A9576E">
        <w:trPr>
          <w:trHeight w:val="526"/>
        </w:trPr>
        <w:tc>
          <w:tcPr>
            <w:tcW w:w="1293" w:type="dxa"/>
            <w:shd w:val="clear" w:color="auto" w:fill="FFFFFF" w:themeFill="background1"/>
          </w:tcPr>
          <w:p w14:paraId="60917C9B" w14:textId="77777777" w:rsidR="00D1178C" w:rsidRPr="00884B8E" w:rsidRDefault="00D1178C" w:rsidP="00D1178C">
            <w:pPr>
              <w:pBdr>
                <w:top w:val="nil"/>
                <w:left w:val="nil"/>
                <w:bottom w:val="nil"/>
                <w:right w:val="nil"/>
                <w:between w:val="nil"/>
              </w:pBdr>
              <w:spacing w:line="210" w:lineRule="auto"/>
              <w:ind w:left="-14" w:right="79"/>
              <w:jc w:val="center"/>
              <w:rPr>
                <w:rFonts w:ascii="Arial" w:eastAsia="Times New Roman" w:hAnsi="Arial" w:cs="Arial"/>
                <w:bCs/>
                <w:color w:val="000000"/>
                <w:sz w:val="20"/>
                <w:szCs w:val="20"/>
              </w:rPr>
            </w:pPr>
          </w:p>
          <w:p w14:paraId="7F147150" w14:textId="75267CDF" w:rsidR="002A2CCD" w:rsidRPr="00884B8E" w:rsidRDefault="00897666" w:rsidP="00D1178C">
            <w:pPr>
              <w:pBdr>
                <w:top w:val="nil"/>
                <w:left w:val="nil"/>
                <w:bottom w:val="nil"/>
                <w:right w:val="nil"/>
                <w:between w:val="nil"/>
              </w:pBdr>
              <w:spacing w:line="210" w:lineRule="auto"/>
              <w:ind w:left="-14" w:right="79"/>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Abrangência</w:t>
            </w:r>
          </w:p>
        </w:tc>
        <w:tc>
          <w:tcPr>
            <w:tcW w:w="965" w:type="dxa"/>
            <w:shd w:val="clear" w:color="auto" w:fill="FFFFFF" w:themeFill="background1"/>
          </w:tcPr>
          <w:p w14:paraId="4E4C06AB" w14:textId="77777777" w:rsidR="002A2CCD" w:rsidRPr="00884B8E" w:rsidRDefault="00897666">
            <w:pPr>
              <w:pBdr>
                <w:top w:val="nil"/>
                <w:left w:val="nil"/>
                <w:bottom w:val="nil"/>
                <w:right w:val="nil"/>
                <w:between w:val="nil"/>
              </w:pBdr>
              <w:ind w:left="122" w:right="94" w:firstLine="172"/>
              <w:rPr>
                <w:rFonts w:ascii="Arial" w:eastAsia="Times New Roman" w:hAnsi="Arial" w:cs="Arial"/>
                <w:bCs/>
                <w:color w:val="000000"/>
                <w:sz w:val="20"/>
                <w:szCs w:val="20"/>
              </w:rPr>
            </w:pPr>
            <w:r w:rsidRPr="00884B8E">
              <w:rPr>
                <w:rFonts w:ascii="Arial" w:eastAsia="Times New Roman" w:hAnsi="Arial" w:cs="Arial"/>
                <w:bCs/>
                <w:color w:val="000000"/>
                <w:sz w:val="20"/>
                <w:szCs w:val="20"/>
              </w:rPr>
              <w:t>Ano eleitoral</w:t>
            </w:r>
          </w:p>
        </w:tc>
        <w:tc>
          <w:tcPr>
            <w:tcW w:w="1701" w:type="dxa"/>
            <w:shd w:val="clear" w:color="auto" w:fill="FFFFFF" w:themeFill="background1"/>
          </w:tcPr>
          <w:p w14:paraId="55A8AAA8" w14:textId="77777777" w:rsidR="002A2CCD" w:rsidRPr="00884B8E" w:rsidRDefault="002A2CCD">
            <w:pPr>
              <w:pBdr>
                <w:top w:val="nil"/>
                <w:left w:val="nil"/>
                <w:bottom w:val="nil"/>
                <w:right w:val="nil"/>
                <w:between w:val="nil"/>
              </w:pBdr>
              <w:rPr>
                <w:rFonts w:ascii="Arial" w:eastAsia="Times New Roman" w:hAnsi="Arial" w:cs="Arial"/>
                <w:bCs/>
                <w:color w:val="000000"/>
                <w:sz w:val="20"/>
                <w:szCs w:val="20"/>
              </w:rPr>
            </w:pPr>
          </w:p>
          <w:p w14:paraId="42A7D562" w14:textId="77777777" w:rsidR="002A2CCD" w:rsidRPr="00884B8E" w:rsidRDefault="00897666" w:rsidP="00D1178C">
            <w:pPr>
              <w:pBdr>
                <w:top w:val="nil"/>
                <w:left w:val="nil"/>
                <w:bottom w:val="nil"/>
                <w:right w:val="nil"/>
                <w:between w:val="nil"/>
              </w:pBdr>
              <w:spacing w:line="210" w:lineRule="auto"/>
              <w:ind w:left="34" w:right="77"/>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Comparecimento</w:t>
            </w:r>
          </w:p>
        </w:tc>
        <w:tc>
          <w:tcPr>
            <w:tcW w:w="1701" w:type="dxa"/>
            <w:shd w:val="clear" w:color="auto" w:fill="FFFFFF" w:themeFill="background1"/>
          </w:tcPr>
          <w:p w14:paraId="3BB1EF16" w14:textId="77777777" w:rsidR="002A2CCD" w:rsidRPr="00884B8E" w:rsidRDefault="00897666">
            <w:pPr>
              <w:pBdr>
                <w:top w:val="nil"/>
                <w:left w:val="nil"/>
                <w:bottom w:val="nil"/>
                <w:right w:val="nil"/>
                <w:between w:val="nil"/>
              </w:pBdr>
              <w:ind w:left="9"/>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w:t>
            </w:r>
          </w:p>
          <w:p w14:paraId="342DFAB5" w14:textId="77777777" w:rsidR="002A2CCD" w:rsidRPr="00884B8E" w:rsidRDefault="00897666" w:rsidP="00D1178C">
            <w:pPr>
              <w:pBdr>
                <w:top w:val="nil"/>
                <w:left w:val="nil"/>
                <w:bottom w:val="nil"/>
                <w:right w:val="nil"/>
                <w:between w:val="nil"/>
              </w:pBdr>
              <w:spacing w:line="210" w:lineRule="auto"/>
              <w:ind w:right="77"/>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Comparecimento</w:t>
            </w:r>
          </w:p>
        </w:tc>
        <w:tc>
          <w:tcPr>
            <w:tcW w:w="1134" w:type="dxa"/>
            <w:shd w:val="clear" w:color="auto" w:fill="FFFFFF" w:themeFill="background1"/>
          </w:tcPr>
          <w:p w14:paraId="7C6EAFED" w14:textId="77777777" w:rsidR="002A2CCD" w:rsidRPr="00884B8E" w:rsidRDefault="00D1178C" w:rsidP="00D1178C">
            <w:pPr>
              <w:pBdr>
                <w:top w:val="nil"/>
                <w:left w:val="nil"/>
                <w:bottom w:val="nil"/>
                <w:right w:val="nil"/>
                <w:between w:val="nil"/>
              </w:pBdr>
              <w:spacing w:line="210" w:lineRule="auto"/>
              <w:rPr>
                <w:rFonts w:ascii="Arial" w:eastAsia="Times New Roman" w:hAnsi="Arial" w:cs="Arial"/>
                <w:bCs/>
                <w:color w:val="000000"/>
                <w:sz w:val="20"/>
                <w:szCs w:val="20"/>
              </w:rPr>
            </w:pPr>
            <w:r w:rsidRPr="00884B8E">
              <w:rPr>
                <w:rFonts w:ascii="Arial" w:eastAsia="Times New Roman" w:hAnsi="Arial" w:cs="Arial"/>
                <w:bCs/>
                <w:color w:val="000000"/>
                <w:sz w:val="20"/>
                <w:szCs w:val="20"/>
              </w:rPr>
              <w:t xml:space="preserve"> </w:t>
            </w:r>
            <w:r w:rsidR="00897666" w:rsidRPr="00884B8E">
              <w:rPr>
                <w:rFonts w:ascii="Arial" w:eastAsia="Times New Roman" w:hAnsi="Arial" w:cs="Arial"/>
                <w:bCs/>
                <w:color w:val="000000"/>
                <w:sz w:val="20"/>
                <w:szCs w:val="20"/>
              </w:rPr>
              <w:t>Abstenção</w:t>
            </w:r>
          </w:p>
          <w:p w14:paraId="536D8461" w14:textId="3E225969" w:rsidR="00BA5373" w:rsidRPr="00884B8E" w:rsidRDefault="00BA5373" w:rsidP="00D1178C">
            <w:pPr>
              <w:pBdr>
                <w:top w:val="nil"/>
                <w:left w:val="nil"/>
                <w:bottom w:val="nil"/>
                <w:right w:val="nil"/>
                <w:between w:val="nil"/>
              </w:pBdr>
              <w:spacing w:line="210" w:lineRule="auto"/>
              <w:rPr>
                <w:rFonts w:ascii="Arial" w:eastAsia="Times New Roman" w:hAnsi="Arial" w:cs="Arial"/>
                <w:bCs/>
                <w:color w:val="000000"/>
                <w:sz w:val="20"/>
                <w:szCs w:val="20"/>
              </w:rPr>
            </w:pPr>
          </w:p>
        </w:tc>
        <w:tc>
          <w:tcPr>
            <w:tcW w:w="1134" w:type="dxa"/>
            <w:shd w:val="clear" w:color="auto" w:fill="FFFFFF" w:themeFill="background1"/>
          </w:tcPr>
          <w:p w14:paraId="2B7C54D5" w14:textId="77777777" w:rsidR="002A2CCD" w:rsidRPr="00884B8E" w:rsidRDefault="00897666">
            <w:pPr>
              <w:pBdr>
                <w:top w:val="nil"/>
                <w:left w:val="nil"/>
                <w:bottom w:val="nil"/>
                <w:right w:val="nil"/>
                <w:between w:val="nil"/>
              </w:pBdr>
              <w:ind w:left="11"/>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w:t>
            </w:r>
          </w:p>
          <w:p w14:paraId="5BCF2FD1" w14:textId="46CCEFA1" w:rsidR="002A2CCD" w:rsidRPr="00884B8E" w:rsidRDefault="00D1178C" w:rsidP="00D1178C">
            <w:pPr>
              <w:pBdr>
                <w:top w:val="nil"/>
                <w:left w:val="nil"/>
                <w:bottom w:val="nil"/>
                <w:right w:val="nil"/>
                <w:between w:val="nil"/>
              </w:pBdr>
              <w:spacing w:line="210" w:lineRule="auto"/>
              <w:ind w:left="-12" w:right="78"/>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 xml:space="preserve"> </w:t>
            </w:r>
            <w:r w:rsidR="00897666" w:rsidRPr="00884B8E">
              <w:rPr>
                <w:rFonts w:ascii="Arial" w:eastAsia="Times New Roman" w:hAnsi="Arial" w:cs="Arial"/>
                <w:bCs/>
                <w:color w:val="000000"/>
                <w:sz w:val="20"/>
                <w:szCs w:val="20"/>
              </w:rPr>
              <w:t>Abstenção</w:t>
            </w:r>
          </w:p>
        </w:tc>
        <w:tc>
          <w:tcPr>
            <w:tcW w:w="1020" w:type="dxa"/>
            <w:shd w:val="clear" w:color="auto" w:fill="FFFFFF" w:themeFill="background1"/>
          </w:tcPr>
          <w:p w14:paraId="366A46DC" w14:textId="77777777" w:rsidR="002A2CCD" w:rsidRPr="00884B8E" w:rsidRDefault="00897666" w:rsidP="00A9576E">
            <w:pPr>
              <w:pBdr>
                <w:top w:val="nil"/>
                <w:left w:val="nil"/>
                <w:bottom w:val="nil"/>
                <w:right w:val="nil"/>
                <w:between w:val="nil"/>
              </w:pBdr>
              <w:ind w:left="-138" w:right="-118"/>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Eleitores aptos</w:t>
            </w:r>
          </w:p>
        </w:tc>
      </w:tr>
      <w:tr w:rsidR="00BA5373" w:rsidRPr="00884B8E" w14:paraId="5F699DB9" w14:textId="77777777" w:rsidTr="00A9576E">
        <w:trPr>
          <w:trHeight w:val="238"/>
        </w:trPr>
        <w:tc>
          <w:tcPr>
            <w:tcW w:w="1293" w:type="dxa"/>
          </w:tcPr>
          <w:p w14:paraId="2D8734F5" w14:textId="77777777" w:rsidR="002A2CCD" w:rsidRPr="00884B8E" w:rsidRDefault="00897666">
            <w:pPr>
              <w:pBdr>
                <w:top w:val="nil"/>
                <w:left w:val="nil"/>
                <w:bottom w:val="nil"/>
                <w:right w:val="nil"/>
                <w:between w:val="nil"/>
              </w:pBdr>
              <w:spacing w:line="210" w:lineRule="auto"/>
              <w:ind w:left="84" w:right="79"/>
              <w:jc w:val="center"/>
              <w:rPr>
                <w:rFonts w:ascii="Arial" w:eastAsia="Times New Roman" w:hAnsi="Arial" w:cs="Arial"/>
                <w:color w:val="000000"/>
                <w:sz w:val="20"/>
                <w:szCs w:val="20"/>
              </w:rPr>
            </w:pPr>
            <w:r w:rsidRPr="00884B8E">
              <w:rPr>
                <w:rFonts w:ascii="Arial" w:eastAsia="Times New Roman" w:hAnsi="Arial" w:cs="Arial"/>
                <w:color w:val="000000"/>
                <w:sz w:val="20"/>
                <w:szCs w:val="20"/>
              </w:rPr>
              <w:t>Brasil</w:t>
            </w:r>
          </w:p>
        </w:tc>
        <w:tc>
          <w:tcPr>
            <w:tcW w:w="965" w:type="dxa"/>
          </w:tcPr>
          <w:p w14:paraId="37076B54" w14:textId="77777777" w:rsidR="002A2CCD" w:rsidRPr="00884B8E" w:rsidRDefault="00897666">
            <w:pPr>
              <w:pBdr>
                <w:top w:val="nil"/>
                <w:left w:val="nil"/>
                <w:bottom w:val="nil"/>
                <w:right w:val="nil"/>
                <w:between w:val="nil"/>
              </w:pBdr>
              <w:spacing w:line="210" w:lineRule="auto"/>
              <w:ind w:left="271"/>
              <w:rPr>
                <w:rFonts w:ascii="Arial" w:eastAsia="Times New Roman" w:hAnsi="Arial" w:cs="Arial"/>
                <w:color w:val="000000"/>
                <w:sz w:val="20"/>
                <w:szCs w:val="20"/>
              </w:rPr>
            </w:pPr>
            <w:r w:rsidRPr="00884B8E">
              <w:rPr>
                <w:rFonts w:ascii="Arial" w:eastAsia="Times New Roman" w:hAnsi="Arial" w:cs="Arial"/>
                <w:color w:val="000000"/>
                <w:sz w:val="20"/>
                <w:szCs w:val="20"/>
              </w:rPr>
              <w:t>2016</w:t>
            </w:r>
          </w:p>
        </w:tc>
        <w:tc>
          <w:tcPr>
            <w:tcW w:w="1701" w:type="dxa"/>
          </w:tcPr>
          <w:p w14:paraId="32AD4491" w14:textId="77777777" w:rsidR="002A2CCD" w:rsidRPr="00884B8E" w:rsidRDefault="00897666">
            <w:pPr>
              <w:pBdr>
                <w:top w:val="nil"/>
                <w:left w:val="nil"/>
                <w:bottom w:val="nil"/>
                <w:right w:val="nil"/>
                <w:between w:val="nil"/>
              </w:pBdr>
              <w:spacing w:line="210" w:lineRule="auto"/>
              <w:ind w:left="84"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118.755.509</w:t>
            </w:r>
          </w:p>
        </w:tc>
        <w:tc>
          <w:tcPr>
            <w:tcW w:w="1701" w:type="dxa"/>
          </w:tcPr>
          <w:p w14:paraId="3C2C3A5B" w14:textId="77777777" w:rsidR="002A2CCD" w:rsidRPr="00884B8E" w:rsidRDefault="00897666">
            <w:pPr>
              <w:pBdr>
                <w:top w:val="nil"/>
                <w:left w:val="nil"/>
                <w:bottom w:val="nil"/>
                <w:right w:val="nil"/>
                <w:between w:val="nil"/>
              </w:pBdr>
              <w:spacing w:line="210" w:lineRule="auto"/>
              <w:ind w:left="87"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82,42%</w:t>
            </w:r>
          </w:p>
        </w:tc>
        <w:tc>
          <w:tcPr>
            <w:tcW w:w="1134" w:type="dxa"/>
          </w:tcPr>
          <w:p w14:paraId="07C77A12" w14:textId="77777777" w:rsidR="002A2CCD" w:rsidRPr="00884B8E" w:rsidRDefault="00897666" w:rsidP="00D1178C">
            <w:pPr>
              <w:pBdr>
                <w:top w:val="nil"/>
                <w:left w:val="nil"/>
                <w:bottom w:val="nil"/>
                <w:right w:val="nil"/>
                <w:between w:val="nil"/>
              </w:pBdr>
              <w:spacing w:line="210" w:lineRule="auto"/>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25.333.403</w:t>
            </w:r>
          </w:p>
        </w:tc>
        <w:tc>
          <w:tcPr>
            <w:tcW w:w="1134" w:type="dxa"/>
          </w:tcPr>
          <w:p w14:paraId="0AA2C32F" w14:textId="77777777" w:rsidR="002A2CCD" w:rsidRPr="00884B8E" w:rsidRDefault="00897666">
            <w:pPr>
              <w:pBdr>
                <w:top w:val="nil"/>
                <w:left w:val="nil"/>
                <w:bottom w:val="nil"/>
                <w:right w:val="nil"/>
                <w:between w:val="nil"/>
              </w:pBdr>
              <w:spacing w:line="210" w:lineRule="auto"/>
              <w:ind w:left="89" w:right="78"/>
              <w:jc w:val="center"/>
              <w:rPr>
                <w:rFonts w:ascii="Arial" w:eastAsia="Times New Roman" w:hAnsi="Arial" w:cs="Arial"/>
                <w:color w:val="000000"/>
                <w:sz w:val="20"/>
                <w:szCs w:val="20"/>
              </w:rPr>
            </w:pPr>
            <w:r w:rsidRPr="00884B8E">
              <w:rPr>
                <w:rFonts w:ascii="Arial" w:eastAsia="Times New Roman" w:hAnsi="Arial" w:cs="Arial"/>
                <w:color w:val="000000"/>
                <w:sz w:val="20"/>
                <w:szCs w:val="20"/>
              </w:rPr>
              <w:t>17,58%</w:t>
            </w:r>
          </w:p>
        </w:tc>
        <w:tc>
          <w:tcPr>
            <w:tcW w:w="1020" w:type="dxa"/>
          </w:tcPr>
          <w:p w14:paraId="21268FDC" w14:textId="77777777" w:rsidR="002A2CCD" w:rsidRPr="00884B8E" w:rsidRDefault="00897666" w:rsidP="00A9576E">
            <w:pPr>
              <w:pBdr>
                <w:top w:val="nil"/>
                <w:left w:val="nil"/>
                <w:bottom w:val="nil"/>
                <w:right w:val="nil"/>
                <w:between w:val="nil"/>
              </w:pBdr>
              <w:spacing w:line="210" w:lineRule="auto"/>
              <w:ind w:right="-118"/>
              <w:jc w:val="center"/>
              <w:rPr>
                <w:rFonts w:ascii="Arial" w:eastAsia="Times New Roman" w:hAnsi="Arial" w:cs="Arial"/>
                <w:color w:val="000000"/>
                <w:sz w:val="20"/>
                <w:szCs w:val="20"/>
              </w:rPr>
            </w:pPr>
            <w:r w:rsidRPr="00884B8E">
              <w:rPr>
                <w:rFonts w:ascii="Arial" w:eastAsia="Times New Roman" w:hAnsi="Arial" w:cs="Arial"/>
                <w:color w:val="000000"/>
                <w:sz w:val="20"/>
                <w:szCs w:val="20"/>
              </w:rPr>
              <w:t>144.088.912</w:t>
            </w:r>
          </w:p>
        </w:tc>
      </w:tr>
      <w:tr w:rsidR="00BA5373" w:rsidRPr="00884B8E" w14:paraId="23E7FECD" w14:textId="77777777" w:rsidTr="00A9576E">
        <w:trPr>
          <w:trHeight w:val="238"/>
        </w:trPr>
        <w:tc>
          <w:tcPr>
            <w:tcW w:w="1293" w:type="dxa"/>
          </w:tcPr>
          <w:p w14:paraId="71D4A1E3" w14:textId="77777777" w:rsidR="002A2CCD" w:rsidRPr="00884B8E" w:rsidRDefault="00897666">
            <w:pPr>
              <w:pBdr>
                <w:top w:val="nil"/>
                <w:left w:val="nil"/>
                <w:bottom w:val="nil"/>
                <w:right w:val="nil"/>
                <w:between w:val="nil"/>
              </w:pBdr>
              <w:spacing w:line="210" w:lineRule="auto"/>
              <w:ind w:left="84" w:right="79"/>
              <w:jc w:val="center"/>
              <w:rPr>
                <w:rFonts w:ascii="Arial" w:eastAsia="Times New Roman" w:hAnsi="Arial" w:cs="Arial"/>
                <w:color w:val="000000"/>
                <w:sz w:val="20"/>
                <w:szCs w:val="20"/>
              </w:rPr>
            </w:pPr>
            <w:r w:rsidRPr="00884B8E">
              <w:rPr>
                <w:rFonts w:ascii="Arial" w:eastAsia="Times New Roman" w:hAnsi="Arial" w:cs="Arial"/>
                <w:color w:val="000000"/>
                <w:sz w:val="20"/>
                <w:szCs w:val="20"/>
              </w:rPr>
              <w:t>Brasil</w:t>
            </w:r>
          </w:p>
        </w:tc>
        <w:tc>
          <w:tcPr>
            <w:tcW w:w="965" w:type="dxa"/>
          </w:tcPr>
          <w:p w14:paraId="05537FF3" w14:textId="77777777" w:rsidR="002A2CCD" w:rsidRPr="00884B8E" w:rsidRDefault="00897666">
            <w:pPr>
              <w:pBdr>
                <w:top w:val="nil"/>
                <w:left w:val="nil"/>
                <w:bottom w:val="nil"/>
                <w:right w:val="nil"/>
                <w:between w:val="nil"/>
              </w:pBdr>
              <w:spacing w:line="210" w:lineRule="auto"/>
              <w:ind w:left="271"/>
              <w:rPr>
                <w:rFonts w:ascii="Arial" w:eastAsia="Times New Roman" w:hAnsi="Arial" w:cs="Arial"/>
                <w:color w:val="000000"/>
                <w:sz w:val="20"/>
                <w:szCs w:val="20"/>
              </w:rPr>
            </w:pPr>
            <w:r w:rsidRPr="00884B8E">
              <w:rPr>
                <w:rFonts w:ascii="Arial" w:eastAsia="Times New Roman" w:hAnsi="Arial" w:cs="Arial"/>
                <w:color w:val="000000"/>
                <w:sz w:val="20"/>
                <w:szCs w:val="20"/>
              </w:rPr>
              <w:t>2020</w:t>
            </w:r>
          </w:p>
        </w:tc>
        <w:tc>
          <w:tcPr>
            <w:tcW w:w="1701" w:type="dxa"/>
          </w:tcPr>
          <w:p w14:paraId="6F6031C4" w14:textId="77777777" w:rsidR="002A2CCD" w:rsidRPr="00884B8E" w:rsidRDefault="00897666">
            <w:pPr>
              <w:pBdr>
                <w:top w:val="nil"/>
                <w:left w:val="nil"/>
                <w:bottom w:val="nil"/>
                <w:right w:val="nil"/>
                <w:between w:val="nil"/>
              </w:pBdr>
              <w:spacing w:line="210" w:lineRule="auto"/>
              <w:ind w:left="84"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113.677.586</w:t>
            </w:r>
          </w:p>
        </w:tc>
        <w:tc>
          <w:tcPr>
            <w:tcW w:w="1701" w:type="dxa"/>
          </w:tcPr>
          <w:p w14:paraId="586217A6" w14:textId="77777777" w:rsidR="002A2CCD" w:rsidRPr="00884B8E" w:rsidRDefault="00897666">
            <w:pPr>
              <w:pBdr>
                <w:top w:val="nil"/>
                <w:left w:val="nil"/>
                <w:bottom w:val="nil"/>
                <w:right w:val="nil"/>
                <w:between w:val="nil"/>
              </w:pBdr>
              <w:spacing w:line="210" w:lineRule="auto"/>
              <w:ind w:left="87"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76,85%</w:t>
            </w:r>
          </w:p>
        </w:tc>
        <w:tc>
          <w:tcPr>
            <w:tcW w:w="1134" w:type="dxa"/>
          </w:tcPr>
          <w:p w14:paraId="4632276D" w14:textId="77777777" w:rsidR="002A2CCD" w:rsidRPr="00884B8E" w:rsidRDefault="00897666" w:rsidP="00D1178C">
            <w:pPr>
              <w:pBdr>
                <w:top w:val="nil"/>
                <w:left w:val="nil"/>
                <w:bottom w:val="nil"/>
                <w:right w:val="nil"/>
                <w:between w:val="nil"/>
              </w:pBdr>
              <w:spacing w:line="210" w:lineRule="auto"/>
              <w:jc w:val="center"/>
              <w:rPr>
                <w:rFonts w:ascii="Arial" w:eastAsia="Times New Roman" w:hAnsi="Arial" w:cs="Arial"/>
                <w:color w:val="000000"/>
                <w:sz w:val="20"/>
                <w:szCs w:val="20"/>
              </w:rPr>
            </w:pPr>
            <w:r w:rsidRPr="00884B8E">
              <w:rPr>
                <w:rFonts w:ascii="Arial" w:eastAsia="Times New Roman" w:hAnsi="Arial" w:cs="Arial"/>
                <w:color w:val="000000"/>
                <w:sz w:val="20"/>
                <w:szCs w:val="20"/>
              </w:rPr>
              <w:t>34.240.897</w:t>
            </w:r>
          </w:p>
        </w:tc>
        <w:tc>
          <w:tcPr>
            <w:tcW w:w="1134" w:type="dxa"/>
          </w:tcPr>
          <w:p w14:paraId="0D1F5E90" w14:textId="77777777" w:rsidR="002A2CCD" w:rsidRPr="00884B8E" w:rsidRDefault="00897666">
            <w:pPr>
              <w:pBdr>
                <w:top w:val="nil"/>
                <w:left w:val="nil"/>
                <w:bottom w:val="nil"/>
                <w:right w:val="nil"/>
                <w:between w:val="nil"/>
              </w:pBdr>
              <w:spacing w:line="210" w:lineRule="auto"/>
              <w:ind w:left="89" w:right="78"/>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23,15%</w:t>
            </w:r>
          </w:p>
        </w:tc>
        <w:tc>
          <w:tcPr>
            <w:tcW w:w="1020" w:type="dxa"/>
          </w:tcPr>
          <w:p w14:paraId="077B6540" w14:textId="77777777" w:rsidR="002A2CCD" w:rsidRPr="00884B8E" w:rsidRDefault="00897666" w:rsidP="00A9576E">
            <w:pPr>
              <w:pBdr>
                <w:top w:val="nil"/>
                <w:left w:val="nil"/>
                <w:bottom w:val="nil"/>
                <w:right w:val="nil"/>
                <w:between w:val="nil"/>
              </w:pBdr>
              <w:spacing w:line="210" w:lineRule="auto"/>
              <w:ind w:right="-118"/>
              <w:jc w:val="center"/>
              <w:rPr>
                <w:rFonts w:ascii="Arial" w:eastAsia="Times New Roman" w:hAnsi="Arial" w:cs="Arial"/>
                <w:color w:val="000000"/>
                <w:sz w:val="20"/>
                <w:szCs w:val="20"/>
              </w:rPr>
            </w:pPr>
            <w:r w:rsidRPr="00884B8E">
              <w:rPr>
                <w:rFonts w:ascii="Arial" w:eastAsia="Times New Roman" w:hAnsi="Arial" w:cs="Arial"/>
                <w:color w:val="000000"/>
                <w:sz w:val="20"/>
                <w:szCs w:val="20"/>
              </w:rPr>
              <w:t>147.918.483</w:t>
            </w:r>
          </w:p>
        </w:tc>
      </w:tr>
    </w:tbl>
    <w:p w14:paraId="1626BAF1" w14:textId="76BA3B50" w:rsidR="002A2CCD" w:rsidRPr="00884B8E" w:rsidRDefault="00897666">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w:t>
      </w:r>
      <w:r w:rsidR="00576547" w:rsidRPr="00884B8E">
        <w:rPr>
          <w:rFonts w:ascii="Arial" w:eastAsia="Arial" w:hAnsi="Arial" w:cs="Arial"/>
          <w:sz w:val="20"/>
          <w:szCs w:val="20"/>
        </w:rPr>
        <w:t xml:space="preserve"> (2020)</w:t>
      </w:r>
      <w:r w:rsidR="00BA5373" w:rsidRPr="00884B8E">
        <w:rPr>
          <w:rFonts w:ascii="Arial" w:eastAsia="Arial" w:hAnsi="Arial" w:cs="Arial"/>
          <w:sz w:val="20"/>
          <w:szCs w:val="20"/>
        </w:rPr>
        <w:t xml:space="preserve">. </w:t>
      </w:r>
    </w:p>
    <w:p w14:paraId="4C4264F0" w14:textId="77777777" w:rsidR="00E92F0C" w:rsidRDefault="00E92F0C">
      <w:pPr>
        <w:widowControl w:val="0"/>
        <w:pBdr>
          <w:top w:val="nil"/>
          <w:left w:val="nil"/>
          <w:bottom w:val="nil"/>
          <w:right w:val="nil"/>
          <w:between w:val="nil"/>
        </w:pBdr>
        <w:spacing w:before="137" w:after="0" w:line="360" w:lineRule="auto"/>
        <w:ind w:firstLine="719"/>
        <w:jc w:val="both"/>
        <w:rPr>
          <w:rFonts w:ascii="Arial" w:eastAsia="Arial" w:hAnsi="Arial" w:cs="Arial"/>
          <w:color w:val="000000"/>
          <w:sz w:val="24"/>
          <w:szCs w:val="24"/>
        </w:rPr>
      </w:pPr>
    </w:p>
    <w:p w14:paraId="7FE54E8B" w14:textId="72382FF4" w:rsidR="002A2CCD" w:rsidRPr="00884B8E" w:rsidRDefault="00BA5373">
      <w:pPr>
        <w:widowControl w:val="0"/>
        <w:pBdr>
          <w:top w:val="nil"/>
          <w:left w:val="nil"/>
          <w:bottom w:val="nil"/>
          <w:right w:val="nil"/>
          <w:between w:val="nil"/>
        </w:pBdr>
        <w:spacing w:before="137"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Embora o</w:t>
      </w:r>
      <w:r w:rsidR="00897666" w:rsidRPr="00884B8E">
        <w:rPr>
          <w:rFonts w:ascii="Arial" w:eastAsia="Arial" w:hAnsi="Arial" w:cs="Arial"/>
          <w:color w:val="000000"/>
          <w:sz w:val="24"/>
          <w:szCs w:val="24"/>
        </w:rPr>
        <w:t xml:space="preserve"> pleito eleitoral de 2020 </w:t>
      </w:r>
      <w:r w:rsidRPr="00884B8E">
        <w:rPr>
          <w:rFonts w:ascii="Arial" w:eastAsia="Arial" w:hAnsi="Arial" w:cs="Arial"/>
          <w:color w:val="000000"/>
          <w:sz w:val="24"/>
          <w:szCs w:val="24"/>
        </w:rPr>
        <w:t>tenha tido</w:t>
      </w:r>
      <w:r w:rsidR="00897666" w:rsidRPr="00884B8E">
        <w:rPr>
          <w:rFonts w:ascii="Arial" w:eastAsia="Arial" w:hAnsi="Arial" w:cs="Arial"/>
          <w:color w:val="000000"/>
          <w:sz w:val="24"/>
          <w:szCs w:val="24"/>
        </w:rPr>
        <w:t xml:space="preserve"> um número de eleitores aptos a votar superior em mais de </w:t>
      </w:r>
      <w:r w:rsidRPr="00884B8E">
        <w:rPr>
          <w:rFonts w:ascii="Arial" w:eastAsia="Arial" w:hAnsi="Arial" w:cs="Arial"/>
          <w:color w:val="000000"/>
          <w:sz w:val="24"/>
          <w:szCs w:val="24"/>
        </w:rPr>
        <w:t xml:space="preserve">3 </w:t>
      </w:r>
      <w:r w:rsidR="00897666" w:rsidRPr="00884B8E">
        <w:rPr>
          <w:rFonts w:ascii="Arial" w:eastAsia="Arial" w:hAnsi="Arial" w:cs="Arial"/>
          <w:color w:val="000000"/>
          <w:sz w:val="24"/>
          <w:szCs w:val="24"/>
        </w:rPr>
        <w:t xml:space="preserve">milhões e </w:t>
      </w:r>
      <w:r w:rsidRPr="00884B8E">
        <w:rPr>
          <w:rFonts w:ascii="Arial" w:eastAsia="Arial" w:hAnsi="Arial" w:cs="Arial"/>
          <w:color w:val="000000"/>
          <w:sz w:val="24"/>
          <w:szCs w:val="24"/>
        </w:rPr>
        <w:t xml:space="preserve">800 </w:t>
      </w:r>
      <w:r w:rsidR="00897666" w:rsidRPr="00884B8E">
        <w:rPr>
          <w:rFonts w:ascii="Arial" w:eastAsia="Arial" w:hAnsi="Arial" w:cs="Arial"/>
          <w:color w:val="000000"/>
          <w:sz w:val="24"/>
          <w:szCs w:val="24"/>
        </w:rPr>
        <w:t xml:space="preserve">mil eleitores em relação às eleições de 2016, os eleitores em 2016 tiveram um comparecimento maior nas urnas em mais de </w:t>
      </w:r>
      <w:r w:rsidRPr="00884B8E">
        <w:rPr>
          <w:rFonts w:ascii="Arial" w:eastAsia="Arial" w:hAnsi="Arial" w:cs="Arial"/>
          <w:color w:val="000000"/>
          <w:sz w:val="24"/>
          <w:szCs w:val="24"/>
        </w:rPr>
        <w:t xml:space="preserve">5 </w:t>
      </w:r>
      <w:r w:rsidR="00897666" w:rsidRPr="00884B8E">
        <w:rPr>
          <w:rFonts w:ascii="Arial" w:eastAsia="Arial" w:hAnsi="Arial" w:cs="Arial"/>
          <w:color w:val="000000"/>
          <w:sz w:val="24"/>
          <w:szCs w:val="24"/>
        </w:rPr>
        <w:t>milhões em relação às eleições de 2020, acontecimento</w:t>
      </w:r>
      <w:r w:rsidRPr="00884B8E">
        <w:rPr>
          <w:rFonts w:ascii="Arial" w:eastAsia="Arial" w:hAnsi="Arial" w:cs="Arial"/>
          <w:color w:val="000000"/>
          <w:sz w:val="24"/>
          <w:szCs w:val="24"/>
        </w:rPr>
        <w:t xml:space="preserve"> que</w:t>
      </w:r>
      <w:r w:rsidR="00897666" w:rsidRPr="00884B8E">
        <w:rPr>
          <w:rFonts w:ascii="Arial" w:eastAsia="Arial" w:hAnsi="Arial" w:cs="Arial"/>
          <w:color w:val="000000"/>
          <w:sz w:val="24"/>
          <w:szCs w:val="24"/>
        </w:rPr>
        <w:t xml:space="preserve"> pode ter como um dos fatores explicativos a pandemia </w:t>
      </w:r>
      <w:r w:rsidRPr="00884B8E">
        <w:rPr>
          <w:rFonts w:ascii="Arial" w:eastAsia="Arial" w:hAnsi="Arial" w:cs="Arial"/>
          <w:color w:val="000000"/>
          <w:sz w:val="24"/>
          <w:szCs w:val="24"/>
        </w:rPr>
        <w:t xml:space="preserve">de </w:t>
      </w:r>
      <w:r w:rsidR="0035498B" w:rsidRPr="00884B8E">
        <w:rPr>
          <w:rFonts w:ascii="Arial" w:eastAsia="Arial" w:hAnsi="Arial" w:cs="Arial"/>
          <w:color w:val="000000"/>
          <w:sz w:val="24"/>
          <w:szCs w:val="24"/>
        </w:rPr>
        <w:t>C</w:t>
      </w:r>
      <w:r w:rsidR="007B2109" w:rsidRPr="00884B8E">
        <w:rPr>
          <w:rFonts w:ascii="Arial" w:eastAsia="Arial" w:hAnsi="Arial" w:cs="Arial"/>
          <w:color w:val="000000"/>
          <w:sz w:val="24"/>
          <w:szCs w:val="24"/>
        </w:rPr>
        <w:t>ovid</w:t>
      </w:r>
      <w:r w:rsidR="0035498B" w:rsidRPr="00884B8E">
        <w:rPr>
          <w:rFonts w:ascii="Arial" w:eastAsia="Arial" w:hAnsi="Arial" w:cs="Arial"/>
          <w:color w:val="000000"/>
          <w:sz w:val="24"/>
          <w:szCs w:val="24"/>
        </w:rPr>
        <w:t>-19</w:t>
      </w:r>
      <w:r w:rsidRPr="00884B8E">
        <w:rPr>
          <w:rFonts w:ascii="Arial" w:eastAsia="Arial" w:hAnsi="Arial" w:cs="Arial"/>
          <w:color w:val="000000"/>
          <w:sz w:val="24"/>
          <w:szCs w:val="24"/>
        </w:rPr>
        <w:t>,</w:t>
      </w:r>
      <w:r w:rsidR="00897666" w:rsidRPr="00884B8E">
        <w:rPr>
          <w:rFonts w:ascii="Arial" w:eastAsia="Arial" w:hAnsi="Arial" w:cs="Arial"/>
          <w:color w:val="000000"/>
          <w:sz w:val="24"/>
          <w:szCs w:val="24"/>
        </w:rPr>
        <w:t xml:space="preserve"> que levou muitos eleitores a não querer sair de casa por medo da ameaça pandêmica. Contudo,</w:t>
      </w:r>
      <w:r w:rsidR="007F046E" w:rsidRPr="00884B8E">
        <w:rPr>
          <w:rFonts w:ascii="Arial" w:eastAsia="Arial" w:hAnsi="Arial" w:cs="Arial"/>
          <w:color w:val="000000"/>
          <w:sz w:val="24"/>
          <w:szCs w:val="24"/>
        </w:rPr>
        <w:t xml:space="preserve"> a partir dos dados apresentados,</w:t>
      </w:r>
      <w:r w:rsidR="00897666" w:rsidRPr="00884B8E">
        <w:rPr>
          <w:rFonts w:ascii="Arial" w:eastAsia="Arial" w:hAnsi="Arial" w:cs="Arial"/>
          <w:color w:val="000000"/>
          <w:sz w:val="24"/>
          <w:szCs w:val="24"/>
        </w:rPr>
        <w:t xml:space="preserve"> afirma-se que as mulheres exercem características de protagonismo nessa discussão, seja no número de votantes ou no grau de comparecimento/abstenção nas urnas.</w:t>
      </w:r>
    </w:p>
    <w:p w14:paraId="62C94F5D" w14:textId="76A27C23" w:rsidR="002A2CCD" w:rsidRPr="00827700" w:rsidRDefault="00897666" w:rsidP="00A9576E">
      <w:pPr>
        <w:widowControl w:val="0"/>
        <w:pBdr>
          <w:top w:val="nil"/>
          <w:left w:val="nil"/>
          <w:bottom w:val="nil"/>
          <w:right w:val="nil"/>
          <w:between w:val="nil"/>
        </w:pBdr>
        <w:spacing w:after="0" w:line="360" w:lineRule="auto"/>
        <w:ind w:firstLine="719"/>
        <w:jc w:val="both"/>
        <w:rPr>
          <w:rFonts w:ascii="Arial" w:eastAsia="Times New Roman" w:hAnsi="Arial" w:cs="Arial"/>
          <w:color w:val="000000"/>
          <w:sz w:val="36"/>
          <w:szCs w:val="36"/>
        </w:rPr>
      </w:pPr>
      <w:r w:rsidRPr="00884B8E">
        <w:rPr>
          <w:rFonts w:ascii="Arial" w:eastAsia="Arial" w:hAnsi="Arial" w:cs="Arial"/>
          <w:color w:val="000000"/>
          <w:sz w:val="24"/>
          <w:szCs w:val="24"/>
        </w:rPr>
        <w:t>Segundo o repositório do Tribunal Superior Eleitoral, é possível destacar que as mulheres são o maior eleitorado brasileiro, sendo 52,49% (0,5249) de todos os votantes brasileiros, número corresponde a 77.649.569 eleitoras</w:t>
      </w:r>
      <w:r w:rsidR="00BA5373" w:rsidRPr="00884B8E">
        <w:rPr>
          <w:rFonts w:ascii="Arial" w:eastAsia="Arial" w:hAnsi="Arial" w:cs="Arial"/>
          <w:color w:val="000000"/>
          <w:sz w:val="24"/>
          <w:szCs w:val="24"/>
        </w:rPr>
        <w:t>. O</w:t>
      </w:r>
      <w:r w:rsidRPr="00884B8E">
        <w:rPr>
          <w:rFonts w:ascii="Arial" w:eastAsia="Arial" w:hAnsi="Arial" w:cs="Arial"/>
          <w:color w:val="000000"/>
          <w:sz w:val="24"/>
          <w:szCs w:val="24"/>
        </w:rPr>
        <w:t>s de gênero masculino corresponde</w:t>
      </w:r>
      <w:r w:rsidR="00BA5373" w:rsidRPr="00884B8E">
        <w:rPr>
          <w:rFonts w:ascii="Arial" w:eastAsia="Arial" w:hAnsi="Arial" w:cs="Arial"/>
          <w:color w:val="000000"/>
          <w:sz w:val="24"/>
          <w:szCs w:val="24"/>
        </w:rPr>
        <w:t>m a</w:t>
      </w:r>
      <w:r w:rsidRPr="00884B8E">
        <w:rPr>
          <w:rFonts w:ascii="Arial" w:eastAsia="Arial" w:hAnsi="Arial" w:cs="Arial"/>
          <w:color w:val="000000"/>
          <w:sz w:val="24"/>
          <w:szCs w:val="24"/>
        </w:rPr>
        <w:t xml:space="preserve"> 47,48% (0,4748)</w:t>
      </w:r>
      <w:r w:rsidR="00BA5373" w:rsidRPr="00884B8E">
        <w:rPr>
          <w:rFonts w:ascii="Arial" w:eastAsia="Arial" w:hAnsi="Arial" w:cs="Arial"/>
          <w:color w:val="000000"/>
          <w:sz w:val="24"/>
          <w:szCs w:val="24"/>
        </w:rPr>
        <w:t xml:space="preserve">, </w:t>
      </w:r>
      <w:r w:rsidRPr="00884B8E">
        <w:rPr>
          <w:rFonts w:ascii="Arial" w:eastAsia="Arial" w:hAnsi="Arial" w:cs="Arial"/>
          <w:color w:val="000000"/>
          <w:sz w:val="24"/>
          <w:szCs w:val="24"/>
        </w:rPr>
        <w:t xml:space="preserve">percentual </w:t>
      </w:r>
      <w:r w:rsidR="0027504C" w:rsidRPr="00884B8E">
        <w:rPr>
          <w:rFonts w:ascii="Arial" w:eastAsia="Arial" w:hAnsi="Arial" w:cs="Arial"/>
          <w:color w:val="000000"/>
          <w:sz w:val="24"/>
          <w:szCs w:val="24"/>
        </w:rPr>
        <w:t xml:space="preserve">que </w:t>
      </w:r>
      <w:r w:rsidRPr="00884B8E">
        <w:rPr>
          <w:rFonts w:ascii="Arial" w:eastAsia="Arial" w:hAnsi="Arial" w:cs="Arial"/>
          <w:color w:val="000000"/>
          <w:sz w:val="24"/>
          <w:szCs w:val="24"/>
        </w:rPr>
        <w:t>declara que são 70.228.457 eleitores declarados do gênero masculino</w:t>
      </w:r>
      <w:r w:rsidR="0027504C" w:rsidRPr="00884B8E">
        <w:rPr>
          <w:rFonts w:ascii="Arial" w:eastAsia="Arial" w:hAnsi="Arial" w:cs="Arial"/>
          <w:color w:val="000000"/>
          <w:sz w:val="24"/>
          <w:szCs w:val="24"/>
        </w:rPr>
        <w:t>. A</w:t>
      </w:r>
      <w:r w:rsidRPr="00884B8E">
        <w:rPr>
          <w:rFonts w:ascii="Arial" w:eastAsia="Arial" w:hAnsi="Arial" w:cs="Arial"/>
          <w:color w:val="000000"/>
          <w:sz w:val="24"/>
          <w:szCs w:val="24"/>
        </w:rPr>
        <w:t>inda é importante apresentar aqueles que não se identificam com nenhum dos gêneros propostos</w:t>
      </w:r>
      <w:r w:rsidR="0027504C"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contabilizando 0,03% (0,003)</w:t>
      </w:r>
      <w:r w:rsidR="0027504C" w:rsidRPr="00884B8E">
        <w:rPr>
          <w:rFonts w:ascii="Arial" w:eastAsia="Arial" w:hAnsi="Arial" w:cs="Arial"/>
          <w:color w:val="000000"/>
          <w:sz w:val="24"/>
          <w:szCs w:val="24"/>
        </w:rPr>
        <w:t>, o</w:t>
      </w:r>
      <w:r w:rsidRPr="00884B8E">
        <w:rPr>
          <w:rFonts w:ascii="Arial" w:eastAsia="Arial" w:hAnsi="Arial" w:cs="Arial"/>
          <w:color w:val="000000"/>
          <w:sz w:val="24"/>
          <w:szCs w:val="24"/>
        </w:rPr>
        <w:t xml:space="preserve"> que corresponde a um total de 40.457 eleitores, </w:t>
      </w:r>
      <w:r w:rsidR="0027504C" w:rsidRPr="00884B8E">
        <w:rPr>
          <w:rFonts w:ascii="Arial" w:eastAsia="Arial" w:hAnsi="Arial" w:cs="Arial"/>
          <w:color w:val="000000"/>
          <w:sz w:val="24"/>
          <w:szCs w:val="24"/>
        </w:rPr>
        <w:t xml:space="preserve">sendo </w:t>
      </w:r>
      <w:r w:rsidRPr="00884B8E">
        <w:rPr>
          <w:rFonts w:ascii="Arial" w:eastAsia="Arial" w:hAnsi="Arial" w:cs="Arial"/>
          <w:color w:val="000000"/>
          <w:sz w:val="24"/>
          <w:szCs w:val="24"/>
        </w:rPr>
        <w:t>a somatória de todos os eleitores aptos a votar nas eleições de 2020 de 147.918.483 eleitores (TSE, 2020).</w:t>
      </w:r>
    </w:p>
    <w:p w14:paraId="5FF683BE" w14:textId="4E125E72" w:rsidR="002A2CCD" w:rsidRPr="00884B8E" w:rsidRDefault="00897666">
      <w:pPr>
        <w:pStyle w:val="Ttulo1"/>
        <w:spacing w:before="1"/>
        <w:ind w:left="228" w:right="255"/>
        <w:rPr>
          <w:rFonts w:ascii="Arial" w:eastAsia="Arial" w:hAnsi="Arial" w:cs="Arial"/>
          <w:b w:val="0"/>
          <w:bCs w:val="0"/>
          <w:sz w:val="20"/>
          <w:szCs w:val="20"/>
        </w:rPr>
      </w:pPr>
      <w:bookmarkStart w:id="2" w:name="_heading=h.30j0zll" w:colFirst="0" w:colLast="0"/>
      <w:bookmarkEnd w:id="2"/>
      <w:r w:rsidRPr="00884B8E">
        <w:rPr>
          <w:rFonts w:ascii="Arial" w:eastAsia="Arial" w:hAnsi="Arial" w:cs="Arial"/>
          <w:b w:val="0"/>
          <w:bCs w:val="0"/>
          <w:sz w:val="20"/>
          <w:szCs w:val="20"/>
        </w:rPr>
        <w:t xml:space="preserve">Tabela 2 </w:t>
      </w:r>
      <w:r w:rsidR="0027504C" w:rsidRPr="00884B8E">
        <w:rPr>
          <w:rFonts w:ascii="Arial" w:eastAsia="Arial" w:hAnsi="Arial" w:cs="Arial"/>
          <w:b w:val="0"/>
          <w:bCs w:val="0"/>
          <w:sz w:val="20"/>
          <w:szCs w:val="20"/>
        </w:rPr>
        <w:t>–</w:t>
      </w:r>
      <w:r w:rsidRPr="00884B8E">
        <w:rPr>
          <w:rFonts w:ascii="Arial" w:eastAsia="Arial" w:hAnsi="Arial" w:cs="Arial"/>
          <w:b w:val="0"/>
          <w:bCs w:val="0"/>
          <w:sz w:val="20"/>
          <w:szCs w:val="20"/>
        </w:rPr>
        <w:t xml:space="preserve"> Cruzamento de dados por gênero (Brasil)</w:t>
      </w:r>
    </w:p>
    <w:tbl>
      <w:tblPr>
        <w:tblStyle w:val="a8"/>
        <w:tblW w:w="9057"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1017"/>
        <w:gridCol w:w="1671"/>
        <w:gridCol w:w="1674"/>
        <w:gridCol w:w="1090"/>
        <w:gridCol w:w="1091"/>
        <w:gridCol w:w="1216"/>
      </w:tblGrid>
      <w:tr w:rsidR="002A2CCD" w:rsidRPr="00884B8E" w14:paraId="0E855A5C" w14:textId="77777777" w:rsidTr="007F39F7">
        <w:trPr>
          <w:trHeight w:val="485"/>
        </w:trPr>
        <w:tc>
          <w:tcPr>
            <w:tcW w:w="1298" w:type="dxa"/>
            <w:shd w:val="clear" w:color="auto" w:fill="FFFFFF" w:themeFill="background1"/>
          </w:tcPr>
          <w:p w14:paraId="2FDFD21D" w14:textId="77777777" w:rsidR="002A2CCD" w:rsidRPr="00884B8E" w:rsidRDefault="002A2CCD">
            <w:pPr>
              <w:pBdr>
                <w:top w:val="nil"/>
                <w:left w:val="nil"/>
                <w:bottom w:val="nil"/>
                <w:right w:val="nil"/>
                <w:between w:val="nil"/>
              </w:pBdr>
              <w:rPr>
                <w:rFonts w:ascii="Arial" w:eastAsia="Times New Roman" w:hAnsi="Arial" w:cs="Arial"/>
                <w:bCs/>
                <w:color w:val="000000"/>
                <w:sz w:val="20"/>
                <w:szCs w:val="20"/>
              </w:rPr>
            </w:pPr>
          </w:p>
          <w:p w14:paraId="388C6DFD" w14:textId="77777777" w:rsidR="002A2CCD" w:rsidRPr="00884B8E" w:rsidRDefault="00897666" w:rsidP="00875D7F">
            <w:pPr>
              <w:pBdr>
                <w:top w:val="nil"/>
                <w:left w:val="nil"/>
                <w:bottom w:val="nil"/>
                <w:right w:val="nil"/>
                <w:between w:val="nil"/>
              </w:pBdr>
              <w:ind w:left="-14" w:right="34"/>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Abrangência</w:t>
            </w:r>
          </w:p>
        </w:tc>
        <w:tc>
          <w:tcPr>
            <w:tcW w:w="1017" w:type="dxa"/>
            <w:shd w:val="clear" w:color="auto" w:fill="FFFFFF" w:themeFill="background1"/>
          </w:tcPr>
          <w:p w14:paraId="7E645960" w14:textId="77777777" w:rsidR="002A2CCD" w:rsidRPr="00884B8E" w:rsidRDefault="002A2CCD">
            <w:pPr>
              <w:pBdr>
                <w:top w:val="nil"/>
                <w:left w:val="nil"/>
                <w:bottom w:val="nil"/>
                <w:right w:val="nil"/>
                <w:between w:val="nil"/>
              </w:pBdr>
              <w:rPr>
                <w:rFonts w:ascii="Arial" w:eastAsia="Times New Roman" w:hAnsi="Arial" w:cs="Arial"/>
                <w:bCs/>
                <w:color w:val="000000"/>
                <w:sz w:val="20"/>
                <w:szCs w:val="20"/>
              </w:rPr>
            </w:pPr>
          </w:p>
          <w:p w14:paraId="6AC5A93D" w14:textId="77777777" w:rsidR="002A2CCD" w:rsidRPr="00884B8E" w:rsidRDefault="00897666">
            <w:pPr>
              <w:pBdr>
                <w:top w:val="nil"/>
                <w:left w:val="nil"/>
                <w:bottom w:val="nil"/>
                <w:right w:val="nil"/>
                <w:between w:val="nil"/>
              </w:pBdr>
              <w:ind w:left="198"/>
              <w:rPr>
                <w:rFonts w:ascii="Arial" w:eastAsia="Times New Roman" w:hAnsi="Arial" w:cs="Arial"/>
                <w:bCs/>
                <w:color w:val="000000"/>
                <w:sz w:val="20"/>
                <w:szCs w:val="20"/>
              </w:rPr>
            </w:pPr>
            <w:r w:rsidRPr="00884B8E">
              <w:rPr>
                <w:rFonts w:ascii="Arial" w:eastAsia="Times New Roman" w:hAnsi="Arial" w:cs="Arial"/>
                <w:bCs/>
                <w:color w:val="000000"/>
                <w:sz w:val="20"/>
                <w:szCs w:val="20"/>
              </w:rPr>
              <w:t>Gênero</w:t>
            </w:r>
          </w:p>
        </w:tc>
        <w:tc>
          <w:tcPr>
            <w:tcW w:w="1671" w:type="dxa"/>
            <w:shd w:val="clear" w:color="auto" w:fill="FFFFFF" w:themeFill="background1"/>
          </w:tcPr>
          <w:p w14:paraId="3BFA829F" w14:textId="77777777" w:rsidR="002A2CCD" w:rsidRPr="00884B8E" w:rsidRDefault="002A2CCD">
            <w:pPr>
              <w:pBdr>
                <w:top w:val="nil"/>
                <w:left w:val="nil"/>
                <w:bottom w:val="nil"/>
                <w:right w:val="nil"/>
                <w:between w:val="nil"/>
              </w:pBdr>
              <w:rPr>
                <w:rFonts w:ascii="Arial" w:eastAsia="Times New Roman" w:hAnsi="Arial" w:cs="Arial"/>
                <w:bCs/>
                <w:color w:val="000000"/>
                <w:sz w:val="20"/>
                <w:szCs w:val="20"/>
              </w:rPr>
            </w:pPr>
          </w:p>
          <w:p w14:paraId="1471D22D" w14:textId="77777777" w:rsidR="002A2CCD" w:rsidRPr="00884B8E" w:rsidRDefault="00897666" w:rsidP="00875D7F">
            <w:pPr>
              <w:pBdr>
                <w:top w:val="nil"/>
                <w:left w:val="nil"/>
                <w:bottom w:val="nil"/>
                <w:right w:val="nil"/>
                <w:between w:val="nil"/>
              </w:pBdr>
              <w:ind w:left="-62" w:right="103"/>
              <w:jc w:val="right"/>
              <w:rPr>
                <w:rFonts w:ascii="Arial" w:eastAsia="Times New Roman" w:hAnsi="Arial" w:cs="Arial"/>
                <w:bCs/>
                <w:color w:val="000000"/>
                <w:sz w:val="20"/>
                <w:szCs w:val="20"/>
              </w:rPr>
            </w:pPr>
            <w:r w:rsidRPr="00884B8E">
              <w:rPr>
                <w:rFonts w:ascii="Arial" w:eastAsia="Times New Roman" w:hAnsi="Arial" w:cs="Arial"/>
                <w:bCs/>
                <w:color w:val="000000"/>
                <w:sz w:val="20"/>
                <w:szCs w:val="20"/>
              </w:rPr>
              <w:t>Comparecimento</w:t>
            </w:r>
          </w:p>
        </w:tc>
        <w:tc>
          <w:tcPr>
            <w:tcW w:w="1674" w:type="dxa"/>
            <w:shd w:val="clear" w:color="auto" w:fill="FFFFFF" w:themeFill="background1"/>
          </w:tcPr>
          <w:p w14:paraId="6D98B59A" w14:textId="77777777" w:rsidR="002A2CCD" w:rsidRPr="00884B8E" w:rsidRDefault="00897666">
            <w:pPr>
              <w:pBdr>
                <w:top w:val="nil"/>
                <w:left w:val="nil"/>
                <w:bottom w:val="nil"/>
                <w:right w:val="nil"/>
                <w:between w:val="nil"/>
              </w:pBdr>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w:t>
            </w:r>
          </w:p>
          <w:p w14:paraId="167BCA10" w14:textId="67494241" w:rsidR="002A2CCD" w:rsidRPr="00884B8E" w:rsidRDefault="00875D7F" w:rsidP="00875D7F">
            <w:pPr>
              <w:pBdr>
                <w:top w:val="nil"/>
                <w:left w:val="nil"/>
                <w:bottom w:val="nil"/>
                <w:right w:val="nil"/>
                <w:between w:val="nil"/>
              </w:pBdr>
              <w:ind w:left="-171" w:right="89"/>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 xml:space="preserve">    </w:t>
            </w:r>
            <w:r w:rsidR="00897666" w:rsidRPr="00884B8E">
              <w:rPr>
                <w:rFonts w:ascii="Arial" w:eastAsia="Times New Roman" w:hAnsi="Arial" w:cs="Arial"/>
                <w:bCs/>
                <w:color w:val="000000"/>
                <w:sz w:val="20"/>
                <w:szCs w:val="20"/>
              </w:rPr>
              <w:t>Comparecimento</w:t>
            </w:r>
          </w:p>
        </w:tc>
        <w:tc>
          <w:tcPr>
            <w:tcW w:w="1090" w:type="dxa"/>
            <w:shd w:val="clear" w:color="auto" w:fill="FFFFFF" w:themeFill="background1"/>
          </w:tcPr>
          <w:p w14:paraId="260377B2" w14:textId="77777777" w:rsidR="002A2CCD" w:rsidRPr="00884B8E" w:rsidRDefault="002A2CCD">
            <w:pPr>
              <w:pBdr>
                <w:top w:val="nil"/>
                <w:left w:val="nil"/>
                <w:bottom w:val="nil"/>
                <w:right w:val="nil"/>
                <w:between w:val="nil"/>
              </w:pBdr>
              <w:rPr>
                <w:rFonts w:ascii="Arial" w:eastAsia="Times New Roman" w:hAnsi="Arial" w:cs="Arial"/>
                <w:bCs/>
                <w:color w:val="000000"/>
                <w:sz w:val="20"/>
                <w:szCs w:val="20"/>
              </w:rPr>
            </w:pPr>
          </w:p>
          <w:p w14:paraId="6E139DC3" w14:textId="77777777" w:rsidR="002A2CCD" w:rsidRPr="00884B8E" w:rsidRDefault="00897666" w:rsidP="00875D7F">
            <w:pPr>
              <w:pBdr>
                <w:top w:val="nil"/>
                <w:left w:val="nil"/>
                <w:bottom w:val="nil"/>
                <w:right w:val="nil"/>
                <w:between w:val="nil"/>
              </w:pBdr>
              <w:ind w:right="96"/>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Abstenção</w:t>
            </w:r>
          </w:p>
        </w:tc>
        <w:tc>
          <w:tcPr>
            <w:tcW w:w="1091" w:type="dxa"/>
            <w:shd w:val="clear" w:color="auto" w:fill="FFFFFF" w:themeFill="background1"/>
          </w:tcPr>
          <w:p w14:paraId="0198213A" w14:textId="77777777" w:rsidR="002A2CCD" w:rsidRPr="00884B8E" w:rsidRDefault="00897666">
            <w:pPr>
              <w:pBdr>
                <w:top w:val="nil"/>
                <w:left w:val="nil"/>
                <w:bottom w:val="nil"/>
                <w:right w:val="nil"/>
                <w:between w:val="nil"/>
              </w:pBdr>
              <w:ind w:left="1"/>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w:t>
            </w:r>
          </w:p>
          <w:p w14:paraId="443F6A63" w14:textId="77777777" w:rsidR="002A2CCD" w:rsidRPr="00884B8E" w:rsidRDefault="00897666" w:rsidP="00875D7F">
            <w:pPr>
              <w:pBdr>
                <w:top w:val="nil"/>
                <w:left w:val="nil"/>
                <w:bottom w:val="nil"/>
                <w:right w:val="nil"/>
                <w:between w:val="nil"/>
              </w:pBdr>
              <w:jc w:val="center"/>
              <w:rPr>
                <w:rFonts w:ascii="Arial" w:eastAsia="Times New Roman" w:hAnsi="Arial" w:cs="Arial"/>
                <w:bCs/>
                <w:color w:val="000000"/>
                <w:sz w:val="20"/>
                <w:szCs w:val="20"/>
              </w:rPr>
            </w:pPr>
            <w:r w:rsidRPr="00884B8E">
              <w:rPr>
                <w:rFonts w:ascii="Arial" w:eastAsia="Times New Roman" w:hAnsi="Arial" w:cs="Arial"/>
                <w:bCs/>
                <w:color w:val="000000"/>
                <w:sz w:val="20"/>
                <w:szCs w:val="20"/>
              </w:rPr>
              <w:t>Abstenção</w:t>
            </w:r>
          </w:p>
        </w:tc>
        <w:tc>
          <w:tcPr>
            <w:tcW w:w="1216" w:type="dxa"/>
            <w:shd w:val="clear" w:color="auto" w:fill="FFFFFF" w:themeFill="background1"/>
          </w:tcPr>
          <w:p w14:paraId="4FE13A45" w14:textId="77777777" w:rsidR="002A2CCD" w:rsidRPr="00884B8E" w:rsidRDefault="00897666">
            <w:pPr>
              <w:pBdr>
                <w:top w:val="nil"/>
                <w:left w:val="nil"/>
                <w:bottom w:val="nil"/>
                <w:right w:val="nil"/>
                <w:between w:val="nil"/>
              </w:pBdr>
              <w:ind w:left="328" w:right="162" w:hanging="152"/>
              <w:rPr>
                <w:rFonts w:ascii="Arial" w:eastAsia="Times New Roman" w:hAnsi="Arial" w:cs="Arial"/>
                <w:bCs/>
                <w:color w:val="000000"/>
                <w:sz w:val="20"/>
                <w:szCs w:val="20"/>
              </w:rPr>
            </w:pPr>
            <w:r w:rsidRPr="00884B8E">
              <w:rPr>
                <w:rFonts w:ascii="Arial" w:eastAsia="Times New Roman" w:hAnsi="Arial" w:cs="Arial"/>
                <w:bCs/>
                <w:color w:val="000000"/>
                <w:sz w:val="20"/>
                <w:szCs w:val="20"/>
              </w:rPr>
              <w:t>Eleitores aptos</w:t>
            </w:r>
          </w:p>
        </w:tc>
      </w:tr>
      <w:tr w:rsidR="002A2CCD" w:rsidRPr="00884B8E" w14:paraId="21C82405" w14:textId="77777777" w:rsidTr="007F39F7">
        <w:trPr>
          <w:trHeight w:val="410"/>
        </w:trPr>
        <w:tc>
          <w:tcPr>
            <w:tcW w:w="1298" w:type="dxa"/>
          </w:tcPr>
          <w:p w14:paraId="2CE8477A" w14:textId="77777777" w:rsidR="002A2CCD" w:rsidRPr="00884B8E" w:rsidRDefault="002A2CCD">
            <w:pPr>
              <w:pBdr>
                <w:top w:val="nil"/>
                <w:left w:val="nil"/>
                <w:bottom w:val="nil"/>
                <w:right w:val="nil"/>
                <w:between w:val="nil"/>
              </w:pBdr>
              <w:rPr>
                <w:rFonts w:ascii="Arial" w:eastAsia="Times New Roman" w:hAnsi="Arial" w:cs="Arial"/>
                <w:b/>
                <w:color w:val="000000"/>
                <w:sz w:val="20"/>
                <w:szCs w:val="20"/>
              </w:rPr>
            </w:pPr>
          </w:p>
          <w:p w14:paraId="660AD4CE" w14:textId="77777777" w:rsidR="002A2CCD" w:rsidRPr="00884B8E" w:rsidRDefault="00897666">
            <w:pPr>
              <w:pBdr>
                <w:top w:val="nil"/>
                <w:left w:val="nil"/>
                <w:bottom w:val="nil"/>
                <w:right w:val="nil"/>
                <w:between w:val="nil"/>
              </w:pBdr>
              <w:spacing w:before="1"/>
              <w:ind w:left="107"/>
              <w:rPr>
                <w:rFonts w:ascii="Arial" w:eastAsia="Times New Roman" w:hAnsi="Arial" w:cs="Arial"/>
                <w:color w:val="000000"/>
                <w:sz w:val="20"/>
                <w:szCs w:val="20"/>
              </w:rPr>
            </w:pPr>
            <w:r w:rsidRPr="00884B8E">
              <w:rPr>
                <w:rFonts w:ascii="Arial" w:eastAsia="Times New Roman" w:hAnsi="Arial" w:cs="Arial"/>
                <w:color w:val="000000"/>
                <w:sz w:val="20"/>
                <w:szCs w:val="20"/>
              </w:rPr>
              <w:t>Brasil</w:t>
            </w:r>
          </w:p>
        </w:tc>
        <w:tc>
          <w:tcPr>
            <w:tcW w:w="1017" w:type="dxa"/>
          </w:tcPr>
          <w:p w14:paraId="4892D999" w14:textId="77777777" w:rsidR="002A2CCD" w:rsidRPr="00884B8E" w:rsidRDefault="002A2CCD">
            <w:pPr>
              <w:pBdr>
                <w:top w:val="nil"/>
                <w:left w:val="nil"/>
                <w:bottom w:val="nil"/>
                <w:right w:val="nil"/>
                <w:between w:val="nil"/>
              </w:pBdr>
              <w:spacing w:before="10"/>
              <w:rPr>
                <w:rFonts w:ascii="Arial" w:eastAsia="Times New Roman" w:hAnsi="Arial" w:cs="Arial"/>
                <w:b/>
                <w:color w:val="000000"/>
                <w:sz w:val="20"/>
                <w:szCs w:val="20"/>
              </w:rPr>
            </w:pPr>
          </w:p>
          <w:p w14:paraId="44B2989A" w14:textId="77777777" w:rsidR="002A2CCD" w:rsidRPr="00884B8E" w:rsidRDefault="00897666" w:rsidP="00875D7F">
            <w:pPr>
              <w:pBdr>
                <w:top w:val="nil"/>
                <w:left w:val="nil"/>
                <w:bottom w:val="nil"/>
                <w:right w:val="nil"/>
                <w:between w:val="nil"/>
              </w:pBdr>
              <w:spacing w:before="1"/>
              <w:jc w:val="center"/>
              <w:rPr>
                <w:rFonts w:ascii="Arial" w:eastAsia="Times New Roman" w:hAnsi="Arial" w:cs="Arial"/>
                <w:color w:val="000000"/>
                <w:sz w:val="20"/>
                <w:szCs w:val="20"/>
              </w:rPr>
            </w:pPr>
            <w:r w:rsidRPr="00884B8E">
              <w:rPr>
                <w:rFonts w:ascii="Arial" w:eastAsia="Times New Roman" w:hAnsi="Arial" w:cs="Arial"/>
                <w:color w:val="000000"/>
                <w:sz w:val="20"/>
                <w:szCs w:val="20"/>
              </w:rPr>
              <w:t>Não informado</w:t>
            </w:r>
          </w:p>
        </w:tc>
        <w:tc>
          <w:tcPr>
            <w:tcW w:w="1671" w:type="dxa"/>
          </w:tcPr>
          <w:p w14:paraId="12951381" w14:textId="77777777" w:rsidR="002A2CCD" w:rsidRPr="00884B8E"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7C1A013E" w14:textId="77777777" w:rsidR="002A2CCD" w:rsidRPr="00884B8E" w:rsidRDefault="00897666" w:rsidP="003952C3">
            <w:pPr>
              <w:pBdr>
                <w:top w:val="nil"/>
                <w:left w:val="nil"/>
                <w:bottom w:val="nil"/>
                <w:right w:val="nil"/>
                <w:between w:val="nil"/>
              </w:pBdr>
              <w:spacing w:line="186"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16.733</w:t>
            </w:r>
          </w:p>
        </w:tc>
        <w:tc>
          <w:tcPr>
            <w:tcW w:w="1674" w:type="dxa"/>
          </w:tcPr>
          <w:p w14:paraId="0CAEAF5F" w14:textId="77777777" w:rsidR="002A2CCD" w:rsidRPr="00884B8E"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248A8F21" w14:textId="77777777" w:rsidR="002A2CCD" w:rsidRPr="00884B8E" w:rsidRDefault="00897666" w:rsidP="003952C3">
            <w:pPr>
              <w:pBdr>
                <w:top w:val="nil"/>
                <w:left w:val="nil"/>
                <w:bottom w:val="nil"/>
                <w:right w:val="nil"/>
                <w:between w:val="nil"/>
              </w:pBdr>
              <w:spacing w:line="186" w:lineRule="auto"/>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41,36%</w:t>
            </w:r>
          </w:p>
        </w:tc>
        <w:tc>
          <w:tcPr>
            <w:tcW w:w="1090" w:type="dxa"/>
          </w:tcPr>
          <w:p w14:paraId="72A1A0A1" w14:textId="77777777" w:rsidR="002A2CCD" w:rsidRPr="00884B8E" w:rsidRDefault="002A2CCD">
            <w:pPr>
              <w:pBdr>
                <w:top w:val="nil"/>
                <w:left w:val="nil"/>
                <w:bottom w:val="nil"/>
                <w:right w:val="nil"/>
                <w:between w:val="nil"/>
              </w:pBdr>
              <w:spacing w:before="1"/>
              <w:rPr>
                <w:rFonts w:ascii="Arial" w:eastAsia="Times New Roman" w:hAnsi="Arial" w:cs="Arial"/>
                <w:b/>
                <w:color w:val="000000"/>
                <w:sz w:val="20"/>
                <w:szCs w:val="20"/>
              </w:rPr>
            </w:pPr>
          </w:p>
          <w:p w14:paraId="3D9C30CE" w14:textId="77777777" w:rsidR="002A2CCD" w:rsidRPr="00884B8E" w:rsidRDefault="00897666" w:rsidP="00875D7F">
            <w:pPr>
              <w:pBdr>
                <w:top w:val="nil"/>
                <w:left w:val="nil"/>
                <w:bottom w:val="nil"/>
                <w:right w:val="nil"/>
                <w:between w:val="nil"/>
              </w:pBdr>
              <w:spacing w:line="186" w:lineRule="auto"/>
              <w:jc w:val="right"/>
              <w:rPr>
                <w:rFonts w:ascii="Arial" w:eastAsia="Times New Roman" w:hAnsi="Arial" w:cs="Arial"/>
                <w:color w:val="000000"/>
                <w:sz w:val="20"/>
                <w:szCs w:val="20"/>
              </w:rPr>
            </w:pPr>
            <w:r w:rsidRPr="00884B8E">
              <w:rPr>
                <w:rFonts w:ascii="Arial" w:eastAsia="Times New Roman" w:hAnsi="Arial" w:cs="Arial"/>
                <w:color w:val="000000"/>
                <w:sz w:val="20"/>
                <w:szCs w:val="20"/>
              </w:rPr>
              <w:t>23.724</w:t>
            </w:r>
          </w:p>
        </w:tc>
        <w:tc>
          <w:tcPr>
            <w:tcW w:w="1091" w:type="dxa"/>
          </w:tcPr>
          <w:p w14:paraId="2C093377" w14:textId="77777777" w:rsidR="002A2CCD" w:rsidRPr="00884B8E"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780833E5" w14:textId="77777777" w:rsidR="002A2CCD" w:rsidRPr="00884B8E" w:rsidRDefault="00897666" w:rsidP="003952C3">
            <w:pPr>
              <w:pBdr>
                <w:top w:val="nil"/>
                <w:left w:val="nil"/>
                <w:bottom w:val="nil"/>
                <w:right w:val="nil"/>
                <w:between w:val="nil"/>
              </w:pBdr>
              <w:spacing w:line="186" w:lineRule="auto"/>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58,64%</w:t>
            </w:r>
          </w:p>
        </w:tc>
        <w:tc>
          <w:tcPr>
            <w:tcW w:w="1216" w:type="dxa"/>
          </w:tcPr>
          <w:p w14:paraId="6DBBC5F5" w14:textId="77777777" w:rsidR="002A2CCD" w:rsidRPr="00884B8E" w:rsidRDefault="002A2CCD" w:rsidP="007F39F7">
            <w:pPr>
              <w:pBdr>
                <w:top w:val="nil"/>
                <w:left w:val="nil"/>
                <w:bottom w:val="nil"/>
                <w:right w:val="nil"/>
                <w:between w:val="nil"/>
              </w:pBdr>
              <w:spacing w:before="1"/>
              <w:ind w:right="-10"/>
              <w:rPr>
                <w:rFonts w:ascii="Arial" w:eastAsia="Times New Roman" w:hAnsi="Arial" w:cs="Arial"/>
                <w:b/>
                <w:color w:val="000000"/>
                <w:sz w:val="20"/>
                <w:szCs w:val="20"/>
              </w:rPr>
            </w:pPr>
          </w:p>
          <w:p w14:paraId="57A64C40" w14:textId="77777777" w:rsidR="002A2CCD" w:rsidRPr="00884B8E" w:rsidRDefault="00897666" w:rsidP="007F39F7">
            <w:pPr>
              <w:pBdr>
                <w:top w:val="nil"/>
                <w:left w:val="nil"/>
                <w:bottom w:val="nil"/>
                <w:right w:val="nil"/>
                <w:between w:val="nil"/>
              </w:pBdr>
              <w:spacing w:line="186" w:lineRule="auto"/>
              <w:ind w:right="-10"/>
              <w:jc w:val="right"/>
              <w:rPr>
                <w:rFonts w:ascii="Arial" w:eastAsia="Times New Roman" w:hAnsi="Arial" w:cs="Arial"/>
                <w:color w:val="000000"/>
                <w:sz w:val="20"/>
                <w:szCs w:val="20"/>
              </w:rPr>
            </w:pPr>
            <w:r w:rsidRPr="00884B8E">
              <w:rPr>
                <w:rFonts w:ascii="Arial" w:eastAsia="Times New Roman" w:hAnsi="Arial" w:cs="Arial"/>
                <w:color w:val="000000"/>
                <w:sz w:val="20"/>
                <w:szCs w:val="20"/>
              </w:rPr>
              <w:t>40.457</w:t>
            </w:r>
          </w:p>
        </w:tc>
      </w:tr>
      <w:tr w:rsidR="002A2CCD" w:rsidRPr="00884B8E" w14:paraId="17BE8B12" w14:textId="77777777" w:rsidTr="007F39F7">
        <w:trPr>
          <w:trHeight w:val="410"/>
        </w:trPr>
        <w:tc>
          <w:tcPr>
            <w:tcW w:w="1298" w:type="dxa"/>
          </w:tcPr>
          <w:p w14:paraId="161A957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017" w:type="dxa"/>
          </w:tcPr>
          <w:p w14:paraId="14E4617A" w14:textId="77777777" w:rsidR="002A2CCD" w:rsidRPr="00884B8E" w:rsidRDefault="002A2CCD" w:rsidP="00875D7F">
            <w:pPr>
              <w:pBdr>
                <w:top w:val="nil"/>
                <w:left w:val="nil"/>
                <w:bottom w:val="nil"/>
                <w:right w:val="nil"/>
                <w:between w:val="nil"/>
              </w:pBdr>
              <w:ind w:left="-34"/>
              <w:jc w:val="center"/>
              <w:rPr>
                <w:rFonts w:ascii="Arial" w:eastAsia="Times New Roman" w:hAnsi="Arial" w:cs="Arial"/>
                <w:b/>
                <w:color w:val="000000"/>
                <w:sz w:val="20"/>
                <w:szCs w:val="20"/>
              </w:rPr>
            </w:pPr>
          </w:p>
          <w:p w14:paraId="187C5319" w14:textId="77777777" w:rsidR="002A2CCD" w:rsidRPr="00884B8E" w:rsidRDefault="00897666" w:rsidP="00875D7F">
            <w:pPr>
              <w:pBdr>
                <w:top w:val="nil"/>
                <w:left w:val="nil"/>
                <w:bottom w:val="nil"/>
                <w:right w:val="nil"/>
                <w:between w:val="nil"/>
              </w:pBdr>
              <w:ind w:left="-34"/>
              <w:jc w:val="center"/>
              <w:rPr>
                <w:rFonts w:ascii="Arial" w:eastAsia="Times New Roman" w:hAnsi="Arial" w:cs="Arial"/>
                <w:color w:val="000000"/>
                <w:sz w:val="20"/>
                <w:szCs w:val="20"/>
              </w:rPr>
            </w:pPr>
            <w:r w:rsidRPr="00884B8E">
              <w:rPr>
                <w:rFonts w:ascii="Arial" w:eastAsia="Times New Roman" w:hAnsi="Arial" w:cs="Arial"/>
                <w:color w:val="000000"/>
                <w:sz w:val="20"/>
                <w:szCs w:val="20"/>
              </w:rPr>
              <w:t>Masculino</w:t>
            </w:r>
          </w:p>
        </w:tc>
        <w:tc>
          <w:tcPr>
            <w:tcW w:w="1671" w:type="dxa"/>
          </w:tcPr>
          <w:p w14:paraId="748CAE63" w14:textId="77777777" w:rsidR="002A2CCD" w:rsidRPr="00884B8E"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540AF0AB" w14:textId="77777777" w:rsidR="002A2CCD" w:rsidRPr="00884B8E" w:rsidRDefault="00897666" w:rsidP="003952C3">
            <w:pPr>
              <w:pBdr>
                <w:top w:val="nil"/>
                <w:left w:val="nil"/>
                <w:bottom w:val="nil"/>
                <w:right w:val="nil"/>
                <w:between w:val="nil"/>
              </w:pBdr>
              <w:spacing w:line="189"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53.782.031</w:t>
            </w:r>
          </w:p>
        </w:tc>
        <w:tc>
          <w:tcPr>
            <w:tcW w:w="1674" w:type="dxa"/>
          </w:tcPr>
          <w:p w14:paraId="42BFAEC1" w14:textId="77777777" w:rsidR="002A2CCD" w:rsidRPr="00884B8E"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4EA00BC3" w14:textId="77777777" w:rsidR="002A2CCD" w:rsidRPr="00884B8E" w:rsidRDefault="00897666" w:rsidP="003952C3">
            <w:pPr>
              <w:pBdr>
                <w:top w:val="nil"/>
                <w:left w:val="nil"/>
                <w:bottom w:val="nil"/>
                <w:right w:val="nil"/>
                <w:between w:val="nil"/>
              </w:pBdr>
              <w:spacing w:line="189" w:lineRule="auto"/>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76,58%</w:t>
            </w:r>
          </w:p>
        </w:tc>
        <w:tc>
          <w:tcPr>
            <w:tcW w:w="1090" w:type="dxa"/>
          </w:tcPr>
          <w:p w14:paraId="6CF01606" w14:textId="77777777" w:rsidR="002A2CCD" w:rsidRPr="00884B8E" w:rsidRDefault="002A2CCD">
            <w:pPr>
              <w:pBdr>
                <w:top w:val="nil"/>
                <w:left w:val="nil"/>
                <w:bottom w:val="nil"/>
                <w:right w:val="nil"/>
                <w:between w:val="nil"/>
              </w:pBdr>
              <w:spacing w:before="10"/>
              <w:rPr>
                <w:rFonts w:ascii="Arial" w:eastAsia="Times New Roman" w:hAnsi="Arial" w:cs="Arial"/>
                <w:b/>
                <w:color w:val="000000"/>
                <w:sz w:val="20"/>
                <w:szCs w:val="20"/>
              </w:rPr>
            </w:pPr>
          </w:p>
          <w:p w14:paraId="5189CA62" w14:textId="77777777" w:rsidR="002A2CCD" w:rsidRPr="00884B8E" w:rsidRDefault="00897666" w:rsidP="00875D7F">
            <w:pPr>
              <w:pBdr>
                <w:top w:val="nil"/>
                <w:left w:val="nil"/>
                <w:bottom w:val="nil"/>
                <w:right w:val="nil"/>
                <w:between w:val="nil"/>
              </w:pBdr>
              <w:spacing w:line="189" w:lineRule="auto"/>
              <w:jc w:val="right"/>
              <w:rPr>
                <w:rFonts w:ascii="Arial" w:eastAsia="Times New Roman" w:hAnsi="Arial" w:cs="Arial"/>
                <w:color w:val="000000"/>
                <w:sz w:val="20"/>
                <w:szCs w:val="20"/>
              </w:rPr>
            </w:pPr>
            <w:r w:rsidRPr="00884B8E">
              <w:rPr>
                <w:rFonts w:ascii="Arial" w:eastAsia="Times New Roman" w:hAnsi="Arial" w:cs="Arial"/>
                <w:color w:val="000000"/>
                <w:sz w:val="20"/>
                <w:szCs w:val="20"/>
              </w:rPr>
              <w:t>16.446.426</w:t>
            </w:r>
          </w:p>
        </w:tc>
        <w:tc>
          <w:tcPr>
            <w:tcW w:w="1091" w:type="dxa"/>
          </w:tcPr>
          <w:p w14:paraId="2E25E227" w14:textId="77777777" w:rsidR="002A2CCD" w:rsidRPr="00884B8E"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7E61AFC1" w14:textId="77777777" w:rsidR="002A2CCD" w:rsidRPr="00884B8E" w:rsidRDefault="00897666" w:rsidP="003952C3">
            <w:pPr>
              <w:pBdr>
                <w:top w:val="nil"/>
                <w:left w:val="nil"/>
                <w:bottom w:val="nil"/>
                <w:right w:val="nil"/>
                <w:between w:val="nil"/>
              </w:pBdr>
              <w:spacing w:line="189" w:lineRule="auto"/>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23,42%</w:t>
            </w:r>
          </w:p>
        </w:tc>
        <w:tc>
          <w:tcPr>
            <w:tcW w:w="1216" w:type="dxa"/>
          </w:tcPr>
          <w:p w14:paraId="04A08B29" w14:textId="77777777" w:rsidR="002A2CCD" w:rsidRPr="00884B8E" w:rsidRDefault="002A2CCD" w:rsidP="007F39F7">
            <w:pPr>
              <w:pBdr>
                <w:top w:val="nil"/>
                <w:left w:val="nil"/>
                <w:bottom w:val="nil"/>
                <w:right w:val="nil"/>
                <w:between w:val="nil"/>
              </w:pBdr>
              <w:spacing w:before="10"/>
              <w:ind w:right="-10"/>
              <w:rPr>
                <w:rFonts w:ascii="Arial" w:eastAsia="Times New Roman" w:hAnsi="Arial" w:cs="Arial"/>
                <w:b/>
                <w:color w:val="000000"/>
                <w:sz w:val="20"/>
                <w:szCs w:val="20"/>
              </w:rPr>
            </w:pPr>
          </w:p>
          <w:p w14:paraId="1E0743BE" w14:textId="77777777" w:rsidR="002A2CCD" w:rsidRPr="00884B8E" w:rsidRDefault="00897666" w:rsidP="007F39F7">
            <w:pPr>
              <w:pBdr>
                <w:top w:val="nil"/>
                <w:left w:val="nil"/>
                <w:bottom w:val="nil"/>
                <w:right w:val="nil"/>
                <w:between w:val="nil"/>
              </w:pBdr>
              <w:spacing w:line="189" w:lineRule="auto"/>
              <w:ind w:right="-10"/>
              <w:jc w:val="right"/>
              <w:rPr>
                <w:rFonts w:ascii="Arial" w:eastAsia="Times New Roman" w:hAnsi="Arial" w:cs="Arial"/>
                <w:color w:val="000000"/>
                <w:sz w:val="20"/>
                <w:szCs w:val="20"/>
              </w:rPr>
            </w:pPr>
            <w:r w:rsidRPr="00884B8E">
              <w:rPr>
                <w:rFonts w:ascii="Arial" w:eastAsia="Times New Roman" w:hAnsi="Arial" w:cs="Arial"/>
                <w:color w:val="000000"/>
                <w:sz w:val="20"/>
                <w:szCs w:val="20"/>
              </w:rPr>
              <w:t>70.228.457</w:t>
            </w:r>
          </w:p>
        </w:tc>
      </w:tr>
      <w:tr w:rsidR="002A2CCD" w:rsidRPr="00884B8E" w14:paraId="19C9B26C" w14:textId="77777777" w:rsidTr="007F39F7">
        <w:trPr>
          <w:trHeight w:val="335"/>
        </w:trPr>
        <w:tc>
          <w:tcPr>
            <w:tcW w:w="1298" w:type="dxa"/>
          </w:tcPr>
          <w:p w14:paraId="03E9EA1D"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017" w:type="dxa"/>
          </w:tcPr>
          <w:p w14:paraId="3FC71355" w14:textId="77777777" w:rsidR="002A2CCD" w:rsidRPr="00884B8E" w:rsidRDefault="002A2CCD" w:rsidP="00875D7F">
            <w:pPr>
              <w:pBdr>
                <w:top w:val="nil"/>
                <w:left w:val="nil"/>
                <w:bottom w:val="nil"/>
                <w:right w:val="nil"/>
                <w:between w:val="nil"/>
              </w:pBdr>
              <w:ind w:left="-34"/>
              <w:jc w:val="center"/>
              <w:rPr>
                <w:rFonts w:ascii="Arial" w:eastAsia="Times New Roman" w:hAnsi="Arial" w:cs="Arial"/>
                <w:b/>
                <w:color w:val="000000"/>
                <w:sz w:val="20"/>
                <w:szCs w:val="20"/>
              </w:rPr>
            </w:pPr>
          </w:p>
          <w:p w14:paraId="533D7194" w14:textId="77777777" w:rsidR="002A2CCD" w:rsidRPr="00884B8E" w:rsidRDefault="00897666" w:rsidP="00875D7F">
            <w:pPr>
              <w:pBdr>
                <w:top w:val="nil"/>
                <w:left w:val="nil"/>
                <w:bottom w:val="nil"/>
                <w:right w:val="nil"/>
                <w:between w:val="nil"/>
              </w:pBdr>
              <w:ind w:left="-34"/>
              <w:jc w:val="center"/>
              <w:rPr>
                <w:rFonts w:ascii="Arial" w:eastAsia="Times New Roman" w:hAnsi="Arial" w:cs="Arial"/>
                <w:color w:val="000000"/>
                <w:sz w:val="20"/>
                <w:szCs w:val="20"/>
              </w:rPr>
            </w:pPr>
            <w:r w:rsidRPr="00884B8E">
              <w:rPr>
                <w:rFonts w:ascii="Arial" w:eastAsia="Times New Roman" w:hAnsi="Arial" w:cs="Arial"/>
                <w:color w:val="000000"/>
                <w:sz w:val="20"/>
                <w:szCs w:val="20"/>
              </w:rPr>
              <w:t>Feminino</w:t>
            </w:r>
          </w:p>
        </w:tc>
        <w:tc>
          <w:tcPr>
            <w:tcW w:w="1671" w:type="dxa"/>
          </w:tcPr>
          <w:p w14:paraId="773B2277" w14:textId="77777777" w:rsidR="002A2CCD" w:rsidRPr="00884B8E"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32A6180E" w14:textId="77777777" w:rsidR="002A2CCD" w:rsidRPr="00884B8E" w:rsidRDefault="00897666" w:rsidP="003952C3">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59.878.822</w:t>
            </w:r>
          </w:p>
        </w:tc>
        <w:tc>
          <w:tcPr>
            <w:tcW w:w="1674" w:type="dxa"/>
          </w:tcPr>
          <w:p w14:paraId="28F5AF6C" w14:textId="77777777" w:rsidR="002A2CCD" w:rsidRPr="00884B8E"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74579002" w14:textId="77777777" w:rsidR="002A2CCD" w:rsidRPr="00884B8E" w:rsidRDefault="00897666" w:rsidP="003952C3">
            <w:pPr>
              <w:pBdr>
                <w:top w:val="nil"/>
                <w:left w:val="nil"/>
                <w:bottom w:val="nil"/>
                <w:right w:val="nil"/>
                <w:between w:val="nil"/>
              </w:pBdr>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77,11%</w:t>
            </w:r>
          </w:p>
        </w:tc>
        <w:tc>
          <w:tcPr>
            <w:tcW w:w="1090" w:type="dxa"/>
          </w:tcPr>
          <w:p w14:paraId="5E3C8B65" w14:textId="77777777" w:rsidR="002A2CCD" w:rsidRPr="00884B8E" w:rsidRDefault="002A2CCD">
            <w:pPr>
              <w:pBdr>
                <w:top w:val="nil"/>
                <w:left w:val="nil"/>
                <w:bottom w:val="nil"/>
                <w:right w:val="nil"/>
                <w:between w:val="nil"/>
              </w:pBdr>
              <w:spacing w:before="11"/>
              <w:rPr>
                <w:rFonts w:ascii="Arial" w:eastAsia="Times New Roman" w:hAnsi="Arial" w:cs="Arial"/>
                <w:b/>
                <w:color w:val="000000"/>
                <w:sz w:val="20"/>
                <w:szCs w:val="20"/>
              </w:rPr>
            </w:pPr>
          </w:p>
          <w:p w14:paraId="53BC8678" w14:textId="77777777" w:rsidR="002A2CCD" w:rsidRPr="00884B8E" w:rsidRDefault="00897666" w:rsidP="00875D7F">
            <w:pPr>
              <w:pBdr>
                <w:top w:val="nil"/>
                <w:left w:val="nil"/>
                <w:bottom w:val="nil"/>
                <w:right w:val="nil"/>
                <w:between w:val="nil"/>
              </w:pBdr>
              <w:jc w:val="right"/>
              <w:rPr>
                <w:rFonts w:ascii="Arial" w:eastAsia="Times New Roman" w:hAnsi="Arial" w:cs="Arial"/>
                <w:color w:val="000000"/>
                <w:sz w:val="20"/>
                <w:szCs w:val="20"/>
              </w:rPr>
            </w:pPr>
            <w:r w:rsidRPr="00884B8E">
              <w:rPr>
                <w:rFonts w:ascii="Arial" w:eastAsia="Times New Roman" w:hAnsi="Arial" w:cs="Arial"/>
                <w:color w:val="000000"/>
                <w:sz w:val="20"/>
                <w:szCs w:val="20"/>
              </w:rPr>
              <w:t>17.770.747</w:t>
            </w:r>
          </w:p>
        </w:tc>
        <w:tc>
          <w:tcPr>
            <w:tcW w:w="1091" w:type="dxa"/>
          </w:tcPr>
          <w:p w14:paraId="027F8F33" w14:textId="77777777" w:rsidR="002A2CCD" w:rsidRPr="00884B8E"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72A556B0" w14:textId="77777777" w:rsidR="002A2CCD" w:rsidRPr="00884B8E" w:rsidRDefault="00897666" w:rsidP="003952C3">
            <w:pPr>
              <w:pBdr>
                <w:top w:val="nil"/>
                <w:left w:val="nil"/>
                <w:bottom w:val="nil"/>
                <w:right w:val="nil"/>
                <w:between w:val="nil"/>
              </w:pBdr>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22,89%</w:t>
            </w:r>
          </w:p>
        </w:tc>
        <w:tc>
          <w:tcPr>
            <w:tcW w:w="1216" w:type="dxa"/>
          </w:tcPr>
          <w:p w14:paraId="4BFBA2DD" w14:textId="77777777" w:rsidR="002A2CCD" w:rsidRPr="00884B8E" w:rsidRDefault="002A2CCD" w:rsidP="007F39F7">
            <w:pPr>
              <w:pBdr>
                <w:top w:val="nil"/>
                <w:left w:val="nil"/>
                <w:bottom w:val="nil"/>
                <w:right w:val="nil"/>
                <w:between w:val="nil"/>
              </w:pBdr>
              <w:spacing w:before="11"/>
              <w:ind w:right="-10"/>
              <w:rPr>
                <w:rFonts w:ascii="Arial" w:eastAsia="Times New Roman" w:hAnsi="Arial" w:cs="Arial"/>
                <w:b/>
                <w:color w:val="000000"/>
                <w:sz w:val="20"/>
                <w:szCs w:val="20"/>
              </w:rPr>
            </w:pPr>
          </w:p>
          <w:p w14:paraId="0FA3CBAF" w14:textId="77777777" w:rsidR="002A2CCD" w:rsidRPr="00884B8E" w:rsidRDefault="00897666" w:rsidP="007F39F7">
            <w:pPr>
              <w:pBdr>
                <w:top w:val="nil"/>
                <w:left w:val="nil"/>
                <w:bottom w:val="nil"/>
                <w:right w:val="nil"/>
                <w:between w:val="nil"/>
              </w:pBdr>
              <w:ind w:right="-10"/>
              <w:jc w:val="right"/>
              <w:rPr>
                <w:rFonts w:ascii="Arial" w:eastAsia="Times New Roman" w:hAnsi="Arial" w:cs="Arial"/>
                <w:color w:val="000000"/>
                <w:sz w:val="20"/>
                <w:szCs w:val="20"/>
              </w:rPr>
            </w:pPr>
            <w:r w:rsidRPr="00884B8E">
              <w:rPr>
                <w:rFonts w:ascii="Arial" w:eastAsia="Times New Roman" w:hAnsi="Arial" w:cs="Arial"/>
                <w:color w:val="000000"/>
                <w:sz w:val="20"/>
                <w:szCs w:val="20"/>
              </w:rPr>
              <w:t>77.649.569</w:t>
            </w:r>
          </w:p>
        </w:tc>
      </w:tr>
      <w:tr w:rsidR="002A2CCD" w:rsidRPr="00884B8E" w14:paraId="3B401833" w14:textId="77777777" w:rsidTr="007F39F7">
        <w:trPr>
          <w:trHeight w:val="569"/>
        </w:trPr>
        <w:tc>
          <w:tcPr>
            <w:tcW w:w="1298" w:type="dxa"/>
          </w:tcPr>
          <w:p w14:paraId="467D2D73" w14:textId="77777777" w:rsidR="008C0B6E" w:rsidRPr="00827700" w:rsidRDefault="008C0B6E">
            <w:pPr>
              <w:pBdr>
                <w:top w:val="nil"/>
                <w:left w:val="nil"/>
                <w:bottom w:val="nil"/>
                <w:right w:val="nil"/>
                <w:between w:val="nil"/>
              </w:pBdr>
              <w:spacing w:line="136" w:lineRule="auto"/>
              <w:ind w:left="107"/>
              <w:rPr>
                <w:rFonts w:ascii="Arial" w:eastAsia="Times New Roman" w:hAnsi="Arial" w:cs="Arial"/>
                <w:bCs/>
                <w:color w:val="000000"/>
                <w:sz w:val="20"/>
                <w:szCs w:val="20"/>
              </w:rPr>
            </w:pPr>
          </w:p>
          <w:p w14:paraId="74E2867E" w14:textId="77777777" w:rsidR="007F39F7" w:rsidRPr="00827700" w:rsidRDefault="007F39F7" w:rsidP="00875D7F">
            <w:pPr>
              <w:pBdr>
                <w:top w:val="nil"/>
                <w:left w:val="nil"/>
                <w:bottom w:val="nil"/>
                <w:right w:val="nil"/>
                <w:between w:val="nil"/>
              </w:pBdr>
              <w:spacing w:line="136" w:lineRule="auto"/>
              <w:ind w:left="-14"/>
              <w:rPr>
                <w:rFonts w:ascii="Arial" w:eastAsia="Times New Roman" w:hAnsi="Arial" w:cs="Arial"/>
                <w:bCs/>
                <w:color w:val="000000"/>
                <w:sz w:val="20"/>
                <w:szCs w:val="20"/>
              </w:rPr>
            </w:pPr>
          </w:p>
          <w:p w14:paraId="69CE9566" w14:textId="013BF995" w:rsidR="002A2CCD" w:rsidRPr="00827700" w:rsidRDefault="00897666" w:rsidP="007F39F7">
            <w:pPr>
              <w:pBdr>
                <w:top w:val="nil"/>
                <w:left w:val="nil"/>
                <w:bottom w:val="nil"/>
                <w:right w:val="nil"/>
                <w:between w:val="nil"/>
              </w:pBdr>
              <w:ind w:left="-14"/>
              <w:rPr>
                <w:rFonts w:ascii="Arial" w:eastAsia="Times New Roman" w:hAnsi="Arial" w:cs="Arial"/>
                <w:bCs/>
                <w:color w:val="000000"/>
                <w:sz w:val="20"/>
                <w:szCs w:val="20"/>
              </w:rPr>
            </w:pPr>
            <w:r w:rsidRPr="00827700">
              <w:rPr>
                <w:rFonts w:ascii="Arial" w:eastAsia="Times New Roman" w:hAnsi="Arial" w:cs="Arial"/>
                <w:bCs/>
                <w:color w:val="000000"/>
                <w:sz w:val="20"/>
                <w:szCs w:val="20"/>
              </w:rPr>
              <w:t>Total Abrangência</w:t>
            </w:r>
          </w:p>
        </w:tc>
        <w:tc>
          <w:tcPr>
            <w:tcW w:w="1017" w:type="dxa"/>
          </w:tcPr>
          <w:p w14:paraId="354664CA" w14:textId="77777777" w:rsidR="002A2CCD" w:rsidRPr="00884B8E" w:rsidRDefault="002A2CCD">
            <w:pPr>
              <w:pBdr>
                <w:top w:val="nil"/>
                <w:left w:val="nil"/>
                <w:bottom w:val="nil"/>
                <w:right w:val="nil"/>
                <w:between w:val="nil"/>
              </w:pBdr>
              <w:rPr>
                <w:rFonts w:ascii="Arial" w:eastAsia="Times New Roman" w:hAnsi="Arial" w:cs="Arial"/>
                <w:bCs/>
                <w:i/>
                <w:iCs/>
                <w:color w:val="000000"/>
                <w:sz w:val="20"/>
                <w:szCs w:val="20"/>
              </w:rPr>
            </w:pPr>
          </w:p>
        </w:tc>
        <w:tc>
          <w:tcPr>
            <w:tcW w:w="1671" w:type="dxa"/>
          </w:tcPr>
          <w:p w14:paraId="68956116" w14:textId="77777777" w:rsidR="002A2CCD" w:rsidRPr="00827700" w:rsidRDefault="002A2CCD">
            <w:pPr>
              <w:pBdr>
                <w:top w:val="nil"/>
                <w:left w:val="nil"/>
                <w:bottom w:val="nil"/>
                <w:right w:val="nil"/>
                <w:between w:val="nil"/>
              </w:pBdr>
              <w:spacing w:before="1"/>
              <w:rPr>
                <w:rFonts w:ascii="Arial" w:eastAsia="Times New Roman" w:hAnsi="Arial" w:cs="Arial"/>
                <w:bCs/>
                <w:color w:val="000000"/>
                <w:sz w:val="20"/>
                <w:szCs w:val="20"/>
              </w:rPr>
            </w:pPr>
          </w:p>
          <w:p w14:paraId="45BA82AD" w14:textId="77777777" w:rsidR="002A2CCD" w:rsidRPr="00827700" w:rsidRDefault="00897666">
            <w:pPr>
              <w:pBdr>
                <w:top w:val="nil"/>
                <w:left w:val="nil"/>
                <w:bottom w:val="nil"/>
                <w:right w:val="nil"/>
                <w:between w:val="nil"/>
              </w:pBdr>
              <w:spacing w:line="186" w:lineRule="auto"/>
              <w:ind w:right="97"/>
              <w:jc w:val="right"/>
              <w:rPr>
                <w:rFonts w:ascii="Arial" w:eastAsia="Times New Roman" w:hAnsi="Arial" w:cs="Arial"/>
                <w:bCs/>
                <w:color w:val="000000"/>
                <w:sz w:val="20"/>
                <w:szCs w:val="20"/>
              </w:rPr>
            </w:pPr>
            <w:r w:rsidRPr="00827700">
              <w:rPr>
                <w:rFonts w:ascii="Arial" w:eastAsia="Times New Roman" w:hAnsi="Arial" w:cs="Arial"/>
                <w:bCs/>
                <w:color w:val="000000"/>
                <w:sz w:val="20"/>
                <w:szCs w:val="20"/>
              </w:rPr>
              <w:t>113.677.586</w:t>
            </w:r>
          </w:p>
        </w:tc>
        <w:tc>
          <w:tcPr>
            <w:tcW w:w="1674" w:type="dxa"/>
          </w:tcPr>
          <w:p w14:paraId="1F340017" w14:textId="77777777" w:rsidR="002A2CCD" w:rsidRPr="00827700" w:rsidRDefault="002A2CCD">
            <w:pPr>
              <w:pBdr>
                <w:top w:val="nil"/>
                <w:left w:val="nil"/>
                <w:bottom w:val="nil"/>
                <w:right w:val="nil"/>
                <w:between w:val="nil"/>
              </w:pBdr>
              <w:rPr>
                <w:rFonts w:ascii="Arial" w:eastAsia="Times New Roman" w:hAnsi="Arial" w:cs="Arial"/>
                <w:bCs/>
                <w:color w:val="000000"/>
                <w:sz w:val="20"/>
                <w:szCs w:val="20"/>
              </w:rPr>
            </w:pPr>
          </w:p>
        </w:tc>
        <w:tc>
          <w:tcPr>
            <w:tcW w:w="1090" w:type="dxa"/>
          </w:tcPr>
          <w:p w14:paraId="28F432A5" w14:textId="77777777" w:rsidR="002A2CCD" w:rsidRPr="00827700" w:rsidRDefault="002A2CCD">
            <w:pPr>
              <w:pBdr>
                <w:top w:val="nil"/>
                <w:left w:val="nil"/>
                <w:bottom w:val="nil"/>
                <w:right w:val="nil"/>
                <w:between w:val="nil"/>
              </w:pBdr>
              <w:spacing w:before="1"/>
              <w:rPr>
                <w:rFonts w:ascii="Arial" w:eastAsia="Times New Roman" w:hAnsi="Arial" w:cs="Arial"/>
                <w:bCs/>
                <w:color w:val="000000"/>
                <w:sz w:val="20"/>
                <w:szCs w:val="20"/>
              </w:rPr>
            </w:pPr>
          </w:p>
          <w:p w14:paraId="3B47B7F0" w14:textId="77777777" w:rsidR="002A2CCD" w:rsidRPr="00827700" w:rsidRDefault="00897666" w:rsidP="007F39F7">
            <w:pPr>
              <w:pBdr>
                <w:top w:val="nil"/>
                <w:left w:val="nil"/>
                <w:bottom w:val="nil"/>
                <w:right w:val="nil"/>
                <w:between w:val="nil"/>
              </w:pBdr>
              <w:spacing w:line="186" w:lineRule="auto"/>
              <w:jc w:val="right"/>
              <w:rPr>
                <w:rFonts w:ascii="Arial" w:eastAsia="Times New Roman" w:hAnsi="Arial" w:cs="Arial"/>
                <w:bCs/>
                <w:color w:val="000000"/>
                <w:sz w:val="20"/>
                <w:szCs w:val="20"/>
              </w:rPr>
            </w:pPr>
            <w:r w:rsidRPr="00827700">
              <w:rPr>
                <w:rFonts w:ascii="Arial" w:eastAsia="Times New Roman" w:hAnsi="Arial" w:cs="Arial"/>
                <w:bCs/>
                <w:color w:val="000000"/>
                <w:sz w:val="20"/>
                <w:szCs w:val="20"/>
              </w:rPr>
              <w:t>34.240.897</w:t>
            </w:r>
          </w:p>
        </w:tc>
        <w:tc>
          <w:tcPr>
            <w:tcW w:w="1091" w:type="dxa"/>
          </w:tcPr>
          <w:p w14:paraId="49683D6A" w14:textId="77777777" w:rsidR="002A2CCD" w:rsidRPr="00827700" w:rsidRDefault="002A2CCD">
            <w:pPr>
              <w:pBdr>
                <w:top w:val="nil"/>
                <w:left w:val="nil"/>
                <w:bottom w:val="nil"/>
                <w:right w:val="nil"/>
                <w:between w:val="nil"/>
              </w:pBdr>
              <w:rPr>
                <w:rFonts w:ascii="Arial" w:eastAsia="Times New Roman" w:hAnsi="Arial" w:cs="Arial"/>
                <w:bCs/>
                <w:color w:val="000000"/>
                <w:sz w:val="20"/>
                <w:szCs w:val="20"/>
              </w:rPr>
            </w:pPr>
          </w:p>
        </w:tc>
        <w:tc>
          <w:tcPr>
            <w:tcW w:w="1216" w:type="dxa"/>
          </w:tcPr>
          <w:p w14:paraId="3F08F36F" w14:textId="77777777" w:rsidR="002A2CCD" w:rsidRPr="00827700" w:rsidRDefault="002A2CCD">
            <w:pPr>
              <w:pBdr>
                <w:top w:val="nil"/>
                <w:left w:val="nil"/>
                <w:bottom w:val="nil"/>
                <w:right w:val="nil"/>
                <w:between w:val="nil"/>
              </w:pBdr>
              <w:spacing w:before="1"/>
              <w:rPr>
                <w:rFonts w:ascii="Arial" w:eastAsia="Times New Roman" w:hAnsi="Arial" w:cs="Arial"/>
                <w:bCs/>
                <w:color w:val="000000"/>
                <w:sz w:val="20"/>
                <w:szCs w:val="20"/>
              </w:rPr>
            </w:pPr>
          </w:p>
          <w:p w14:paraId="556FC0B1" w14:textId="77777777" w:rsidR="002A2CCD" w:rsidRPr="00827700" w:rsidRDefault="00897666" w:rsidP="007F39F7">
            <w:pPr>
              <w:pBdr>
                <w:top w:val="nil"/>
                <w:left w:val="nil"/>
                <w:bottom w:val="nil"/>
                <w:right w:val="nil"/>
                <w:between w:val="nil"/>
              </w:pBdr>
              <w:spacing w:line="186" w:lineRule="auto"/>
              <w:jc w:val="right"/>
              <w:rPr>
                <w:rFonts w:ascii="Arial" w:eastAsia="Times New Roman" w:hAnsi="Arial" w:cs="Arial"/>
                <w:bCs/>
                <w:color w:val="000000"/>
                <w:sz w:val="20"/>
                <w:szCs w:val="20"/>
              </w:rPr>
            </w:pPr>
            <w:r w:rsidRPr="00827700">
              <w:rPr>
                <w:rFonts w:ascii="Arial" w:eastAsia="Times New Roman" w:hAnsi="Arial" w:cs="Arial"/>
                <w:bCs/>
                <w:color w:val="000000"/>
                <w:sz w:val="20"/>
                <w:szCs w:val="20"/>
              </w:rPr>
              <w:t>147.918.483</w:t>
            </w:r>
          </w:p>
        </w:tc>
      </w:tr>
      <w:tr w:rsidR="002A2CCD" w:rsidRPr="00884B8E" w14:paraId="14025955" w14:textId="77777777" w:rsidTr="007F39F7">
        <w:trPr>
          <w:trHeight w:val="410"/>
        </w:trPr>
        <w:tc>
          <w:tcPr>
            <w:tcW w:w="1298" w:type="dxa"/>
          </w:tcPr>
          <w:p w14:paraId="3BF0C69F" w14:textId="77777777" w:rsidR="007F39F7" w:rsidRPr="00827700" w:rsidRDefault="007F39F7">
            <w:pPr>
              <w:pBdr>
                <w:top w:val="nil"/>
                <w:left w:val="nil"/>
                <w:bottom w:val="nil"/>
                <w:right w:val="nil"/>
                <w:between w:val="nil"/>
              </w:pBdr>
              <w:spacing w:before="1"/>
              <w:ind w:left="107"/>
              <w:rPr>
                <w:rFonts w:ascii="Arial" w:eastAsia="Times New Roman" w:hAnsi="Arial" w:cs="Arial"/>
                <w:bCs/>
                <w:color w:val="000000"/>
                <w:sz w:val="20"/>
                <w:szCs w:val="20"/>
              </w:rPr>
            </w:pPr>
          </w:p>
          <w:p w14:paraId="24ED2476" w14:textId="518023F8" w:rsidR="002A2CCD" w:rsidRPr="00827700" w:rsidRDefault="00897666" w:rsidP="007F39F7">
            <w:pPr>
              <w:pBdr>
                <w:top w:val="nil"/>
                <w:left w:val="nil"/>
                <w:bottom w:val="nil"/>
                <w:right w:val="nil"/>
                <w:between w:val="nil"/>
              </w:pBdr>
              <w:spacing w:before="1"/>
              <w:rPr>
                <w:rFonts w:ascii="Arial" w:eastAsia="Times New Roman" w:hAnsi="Arial" w:cs="Arial"/>
                <w:bCs/>
                <w:color w:val="000000"/>
                <w:sz w:val="20"/>
                <w:szCs w:val="20"/>
              </w:rPr>
            </w:pPr>
            <w:r w:rsidRPr="00827700">
              <w:rPr>
                <w:rFonts w:ascii="Arial" w:eastAsia="Times New Roman" w:hAnsi="Arial" w:cs="Arial"/>
                <w:bCs/>
                <w:color w:val="000000"/>
                <w:sz w:val="20"/>
                <w:szCs w:val="20"/>
              </w:rPr>
              <w:t>Total Geral</w:t>
            </w:r>
          </w:p>
        </w:tc>
        <w:tc>
          <w:tcPr>
            <w:tcW w:w="1017" w:type="dxa"/>
          </w:tcPr>
          <w:p w14:paraId="389C84BB" w14:textId="77777777" w:rsidR="002A2CCD" w:rsidRPr="00884B8E" w:rsidRDefault="002A2CCD">
            <w:pPr>
              <w:pBdr>
                <w:top w:val="nil"/>
                <w:left w:val="nil"/>
                <w:bottom w:val="nil"/>
                <w:right w:val="nil"/>
                <w:between w:val="nil"/>
              </w:pBdr>
              <w:rPr>
                <w:rFonts w:ascii="Arial" w:eastAsia="Times New Roman" w:hAnsi="Arial" w:cs="Arial"/>
                <w:bCs/>
                <w:i/>
                <w:iCs/>
                <w:color w:val="000000"/>
                <w:sz w:val="20"/>
                <w:szCs w:val="20"/>
              </w:rPr>
            </w:pPr>
          </w:p>
        </w:tc>
        <w:tc>
          <w:tcPr>
            <w:tcW w:w="1671" w:type="dxa"/>
          </w:tcPr>
          <w:p w14:paraId="679CC6CF" w14:textId="77777777" w:rsidR="002A2CCD" w:rsidRPr="00827700" w:rsidRDefault="002A2CCD">
            <w:pPr>
              <w:pBdr>
                <w:top w:val="nil"/>
                <w:left w:val="nil"/>
                <w:bottom w:val="nil"/>
                <w:right w:val="nil"/>
                <w:between w:val="nil"/>
              </w:pBdr>
              <w:spacing w:before="10"/>
              <w:rPr>
                <w:rFonts w:ascii="Arial" w:eastAsia="Times New Roman" w:hAnsi="Arial" w:cs="Arial"/>
                <w:bCs/>
                <w:color w:val="000000"/>
                <w:sz w:val="20"/>
                <w:szCs w:val="20"/>
              </w:rPr>
            </w:pPr>
          </w:p>
          <w:p w14:paraId="0483DAFB" w14:textId="77777777" w:rsidR="002A2CCD" w:rsidRPr="00827700" w:rsidRDefault="00897666">
            <w:pPr>
              <w:pBdr>
                <w:top w:val="nil"/>
                <w:left w:val="nil"/>
                <w:bottom w:val="nil"/>
                <w:right w:val="nil"/>
                <w:between w:val="nil"/>
              </w:pBdr>
              <w:spacing w:line="189" w:lineRule="auto"/>
              <w:ind w:right="97"/>
              <w:jc w:val="right"/>
              <w:rPr>
                <w:rFonts w:ascii="Arial" w:eastAsia="Times New Roman" w:hAnsi="Arial" w:cs="Arial"/>
                <w:bCs/>
                <w:color w:val="000000"/>
                <w:sz w:val="20"/>
                <w:szCs w:val="20"/>
              </w:rPr>
            </w:pPr>
            <w:r w:rsidRPr="00827700">
              <w:rPr>
                <w:rFonts w:ascii="Arial" w:eastAsia="Times New Roman" w:hAnsi="Arial" w:cs="Arial"/>
                <w:bCs/>
                <w:color w:val="000000"/>
                <w:sz w:val="20"/>
                <w:szCs w:val="20"/>
              </w:rPr>
              <w:t>113.677.586</w:t>
            </w:r>
          </w:p>
        </w:tc>
        <w:tc>
          <w:tcPr>
            <w:tcW w:w="1674" w:type="dxa"/>
          </w:tcPr>
          <w:p w14:paraId="51747240" w14:textId="77777777" w:rsidR="002A2CCD" w:rsidRPr="00827700" w:rsidRDefault="002A2CCD">
            <w:pPr>
              <w:pBdr>
                <w:top w:val="nil"/>
                <w:left w:val="nil"/>
                <w:bottom w:val="nil"/>
                <w:right w:val="nil"/>
                <w:between w:val="nil"/>
              </w:pBdr>
              <w:rPr>
                <w:rFonts w:ascii="Arial" w:eastAsia="Times New Roman" w:hAnsi="Arial" w:cs="Arial"/>
                <w:bCs/>
                <w:color w:val="000000"/>
                <w:sz w:val="20"/>
                <w:szCs w:val="20"/>
              </w:rPr>
            </w:pPr>
          </w:p>
        </w:tc>
        <w:tc>
          <w:tcPr>
            <w:tcW w:w="1090" w:type="dxa"/>
          </w:tcPr>
          <w:p w14:paraId="7B4FDB63" w14:textId="77777777" w:rsidR="002A2CCD" w:rsidRPr="00827700" w:rsidRDefault="002A2CCD">
            <w:pPr>
              <w:pBdr>
                <w:top w:val="nil"/>
                <w:left w:val="nil"/>
                <w:bottom w:val="nil"/>
                <w:right w:val="nil"/>
                <w:between w:val="nil"/>
              </w:pBdr>
              <w:spacing w:before="10"/>
              <w:rPr>
                <w:rFonts w:ascii="Arial" w:eastAsia="Times New Roman" w:hAnsi="Arial" w:cs="Arial"/>
                <w:bCs/>
                <w:color w:val="000000"/>
                <w:sz w:val="20"/>
                <w:szCs w:val="20"/>
              </w:rPr>
            </w:pPr>
          </w:p>
          <w:p w14:paraId="41A05283" w14:textId="77777777" w:rsidR="002A2CCD" w:rsidRPr="00827700" w:rsidRDefault="00897666" w:rsidP="007F39F7">
            <w:pPr>
              <w:pBdr>
                <w:top w:val="nil"/>
                <w:left w:val="nil"/>
                <w:bottom w:val="nil"/>
                <w:right w:val="nil"/>
                <w:between w:val="nil"/>
              </w:pBdr>
              <w:spacing w:line="189" w:lineRule="auto"/>
              <w:jc w:val="right"/>
              <w:rPr>
                <w:rFonts w:ascii="Arial" w:eastAsia="Times New Roman" w:hAnsi="Arial" w:cs="Arial"/>
                <w:bCs/>
                <w:color w:val="000000"/>
                <w:sz w:val="20"/>
                <w:szCs w:val="20"/>
              </w:rPr>
            </w:pPr>
            <w:r w:rsidRPr="00827700">
              <w:rPr>
                <w:rFonts w:ascii="Arial" w:eastAsia="Times New Roman" w:hAnsi="Arial" w:cs="Arial"/>
                <w:bCs/>
                <w:color w:val="000000"/>
                <w:sz w:val="20"/>
                <w:szCs w:val="20"/>
              </w:rPr>
              <w:t>34.240.897</w:t>
            </w:r>
          </w:p>
        </w:tc>
        <w:tc>
          <w:tcPr>
            <w:tcW w:w="1091" w:type="dxa"/>
          </w:tcPr>
          <w:p w14:paraId="3E8A34A5" w14:textId="77777777" w:rsidR="002A2CCD" w:rsidRPr="00827700" w:rsidRDefault="002A2CCD">
            <w:pPr>
              <w:pBdr>
                <w:top w:val="nil"/>
                <w:left w:val="nil"/>
                <w:bottom w:val="nil"/>
                <w:right w:val="nil"/>
                <w:between w:val="nil"/>
              </w:pBdr>
              <w:rPr>
                <w:rFonts w:ascii="Arial" w:eastAsia="Times New Roman" w:hAnsi="Arial" w:cs="Arial"/>
                <w:bCs/>
                <w:color w:val="000000"/>
                <w:sz w:val="20"/>
                <w:szCs w:val="20"/>
              </w:rPr>
            </w:pPr>
          </w:p>
        </w:tc>
        <w:tc>
          <w:tcPr>
            <w:tcW w:w="1216" w:type="dxa"/>
          </w:tcPr>
          <w:p w14:paraId="57127B9A" w14:textId="77777777" w:rsidR="002A2CCD" w:rsidRPr="00827700" w:rsidRDefault="002A2CCD">
            <w:pPr>
              <w:pBdr>
                <w:top w:val="nil"/>
                <w:left w:val="nil"/>
                <w:bottom w:val="nil"/>
                <w:right w:val="nil"/>
                <w:between w:val="nil"/>
              </w:pBdr>
              <w:spacing w:before="10"/>
              <w:rPr>
                <w:rFonts w:ascii="Arial" w:eastAsia="Times New Roman" w:hAnsi="Arial" w:cs="Arial"/>
                <w:bCs/>
                <w:color w:val="000000"/>
                <w:sz w:val="20"/>
                <w:szCs w:val="20"/>
              </w:rPr>
            </w:pPr>
          </w:p>
          <w:p w14:paraId="7B1C9EBB" w14:textId="77777777" w:rsidR="002A2CCD" w:rsidRPr="00827700" w:rsidRDefault="00897666" w:rsidP="007F39F7">
            <w:pPr>
              <w:pBdr>
                <w:top w:val="nil"/>
                <w:left w:val="nil"/>
                <w:bottom w:val="nil"/>
                <w:right w:val="nil"/>
                <w:between w:val="nil"/>
              </w:pBdr>
              <w:spacing w:line="189" w:lineRule="auto"/>
              <w:jc w:val="right"/>
              <w:rPr>
                <w:rFonts w:ascii="Arial" w:eastAsia="Times New Roman" w:hAnsi="Arial" w:cs="Arial"/>
                <w:bCs/>
                <w:color w:val="000000"/>
                <w:sz w:val="20"/>
                <w:szCs w:val="20"/>
              </w:rPr>
            </w:pPr>
            <w:r w:rsidRPr="00827700">
              <w:rPr>
                <w:rFonts w:ascii="Arial" w:eastAsia="Times New Roman" w:hAnsi="Arial" w:cs="Arial"/>
                <w:bCs/>
                <w:color w:val="000000"/>
                <w:sz w:val="20"/>
                <w:szCs w:val="20"/>
              </w:rPr>
              <w:t>147.918.483</w:t>
            </w:r>
          </w:p>
        </w:tc>
      </w:tr>
    </w:tbl>
    <w:p w14:paraId="5259B495" w14:textId="63A69F44" w:rsidR="007F39F7" w:rsidRPr="00884B8E" w:rsidRDefault="007F39F7" w:rsidP="007F39F7">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27504C" w:rsidRPr="00884B8E">
        <w:rPr>
          <w:rFonts w:ascii="Arial" w:eastAsia="Arial" w:hAnsi="Arial" w:cs="Arial"/>
          <w:sz w:val="20"/>
          <w:szCs w:val="20"/>
        </w:rPr>
        <w:t>.</w:t>
      </w:r>
    </w:p>
    <w:p w14:paraId="13A478CD" w14:textId="77777777" w:rsidR="002A2CCD" w:rsidRPr="00827700" w:rsidRDefault="002A2CCD">
      <w:pPr>
        <w:widowControl w:val="0"/>
        <w:pBdr>
          <w:top w:val="nil"/>
          <w:left w:val="nil"/>
          <w:bottom w:val="nil"/>
          <w:right w:val="nil"/>
          <w:between w:val="nil"/>
        </w:pBdr>
        <w:spacing w:after="0" w:line="240" w:lineRule="auto"/>
        <w:rPr>
          <w:rFonts w:ascii="Arial" w:eastAsia="Times New Roman" w:hAnsi="Arial" w:cs="Arial"/>
          <w:color w:val="000000"/>
        </w:rPr>
      </w:pPr>
    </w:p>
    <w:p w14:paraId="4DFD82A7" w14:textId="4A3F38A7" w:rsidR="002A2CCD" w:rsidRPr="00884B8E"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A participação feminina nas eleições </w:t>
      </w:r>
      <w:r w:rsidR="0027504C" w:rsidRPr="00884B8E">
        <w:rPr>
          <w:rFonts w:ascii="Arial" w:eastAsia="Arial" w:hAnsi="Arial" w:cs="Arial"/>
          <w:color w:val="000000"/>
          <w:sz w:val="24"/>
          <w:szCs w:val="24"/>
        </w:rPr>
        <w:t xml:space="preserve">tem </w:t>
      </w:r>
      <w:r w:rsidRPr="00884B8E">
        <w:rPr>
          <w:rFonts w:ascii="Arial" w:eastAsia="Arial" w:hAnsi="Arial" w:cs="Arial"/>
          <w:color w:val="000000"/>
          <w:sz w:val="24"/>
          <w:szCs w:val="24"/>
        </w:rPr>
        <w:t xml:space="preserve">um papel de destaque no âmbito de presença nas urnas, exercendo uma função de destaque no processo de cidadania, </w:t>
      </w:r>
      <w:r w:rsidR="0027504C" w:rsidRPr="00884B8E">
        <w:rPr>
          <w:rFonts w:ascii="Arial" w:eastAsia="Arial" w:hAnsi="Arial" w:cs="Arial"/>
          <w:color w:val="000000"/>
          <w:sz w:val="24"/>
          <w:szCs w:val="24"/>
        </w:rPr>
        <w:t xml:space="preserve">com </w:t>
      </w:r>
      <w:r w:rsidRPr="00884B8E">
        <w:rPr>
          <w:rFonts w:ascii="Arial" w:eastAsia="Arial" w:hAnsi="Arial" w:cs="Arial"/>
          <w:color w:val="000000"/>
          <w:sz w:val="24"/>
          <w:szCs w:val="24"/>
        </w:rPr>
        <w:t xml:space="preserve">um comparecimento maior nas eleições </w:t>
      </w:r>
      <w:r w:rsidR="0027504C" w:rsidRPr="00884B8E">
        <w:rPr>
          <w:rFonts w:ascii="Arial" w:eastAsia="Arial" w:hAnsi="Arial" w:cs="Arial"/>
          <w:color w:val="000000"/>
          <w:sz w:val="24"/>
          <w:szCs w:val="24"/>
        </w:rPr>
        <w:t xml:space="preserve">e </w:t>
      </w:r>
      <w:r w:rsidRPr="00884B8E">
        <w:rPr>
          <w:rFonts w:ascii="Arial" w:eastAsia="Arial" w:hAnsi="Arial" w:cs="Arial"/>
          <w:color w:val="000000"/>
          <w:sz w:val="24"/>
          <w:szCs w:val="24"/>
        </w:rPr>
        <w:t xml:space="preserve">menor número de abstenções. As eleições municipais de 2020, embora tenham registrado um número alto de abstenções nas urnas, é marcado pela evolução nas candidaturas. O Tribunal Superior Eleitoral registra que houve aumento em 10,90% (0,1090) das candidaturas em relação às eleições de 2016, dados </w:t>
      </w:r>
      <w:r w:rsidR="0027504C" w:rsidRPr="00884B8E">
        <w:rPr>
          <w:rFonts w:ascii="Arial" w:eastAsia="Arial" w:hAnsi="Arial" w:cs="Arial"/>
          <w:color w:val="000000"/>
          <w:sz w:val="24"/>
          <w:szCs w:val="24"/>
        </w:rPr>
        <w:t xml:space="preserve">que </w:t>
      </w:r>
      <w:r w:rsidRPr="00884B8E">
        <w:rPr>
          <w:rFonts w:ascii="Arial" w:eastAsia="Arial" w:hAnsi="Arial" w:cs="Arial"/>
          <w:color w:val="000000"/>
          <w:sz w:val="24"/>
          <w:szCs w:val="24"/>
        </w:rPr>
        <w:t xml:space="preserve">podem ser </w:t>
      </w:r>
      <w:r w:rsidR="008E17DE" w:rsidRPr="00884B8E">
        <w:rPr>
          <w:rFonts w:ascii="Arial" w:eastAsia="Arial" w:hAnsi="Arial" w:cs="Arial"/>
          <w:color w:val="000000"/>
          <w:sz w:val="24"/>
          <w:szCs w:val="24"/>
        </w:rPr>
        <w:t>mais bem</w:t>
      </w:r>
      <w:r w:rsidRPr="00884B8E">
        <w:rPr>
          <w:rFonts w:ascii="Arial" w:eastAsia="Arial" w:hAnsi="Arial" w:cs="Arial"/>
          <w:color w:val="000000"/>
          <w:sz w:val="24"/>
          <w:szCs w:val="24"/>
        </w:rPr>
        <w:t xml:space="preserve"> observados em números reais, </w:t>
      </w:r>
      <w:r w:rsidR="0027504C" w:rsidRPr="00884B8E">
        <w:rPr>
          <w:rFonts w:ascii="Arial" w:eastAsia="Arial" w:hAnsi="Arial" w:cs="Arial"/>
          <w:color w:val="000000"/>
          <w:sz w:val="24"/>
          <w:szCs w:val="24"/>
        </w:rPr>
        <w:t>conforme a T</w:t>
      </w:r>
      <w:r w:rsidRPr="00884B8E">
        <w:rPr>
          <w:rFonts w:ascii="Arial" w:eastAsia="Arial" w:hAnsi="Arial" w:cs="Arial"/>
          <w:color w:val="000000"/>
          <w:sz w:val="24"/>
          <w:szCs w:val="24"/>
        </w:rPr>
        <w:t xml:space="preserve">abela </w:t>
      </w:r>
      <w:r w:rsidR="0027504C" w:rsidRPr="00884B8E">
        <w:rPr>
          <w:rFonts w:ascii="Arial" w:eastAsia="Arial" w:hAnsi="Arial" w:cs="Arial"/>
          <w:color w:val="000000"/>
          <w:sz w:val="24"/>
          <w:szCs w:val="24"/>
        </w:rPr>
        <w:t xml:space="preserve">3, </w:t>
      </w:r>
      <w:r w:rsidRPr="00884B8E">
        <w:rPr>
          <w:rFonts w:ascii="Arial" w:eastAsia="Arial" w:hAnsi="Arial" w:cs="Arial"/>
          <w:color w:val="000000"/>
          <w:sz w:val="24"/>
          <w:szCs w:val="24"/>
        </w:rPr>
        <w:t>a seguir:</w:t>
      </w:r>
    </w:p>
    <w:p w14:paraId="118A2BE5" w14:textId="77777777" w:rsidR="002A2CCD" w:rsidRPr="00884B8E" w:rsidRDefault="002A2CCD">
      <w:pPr>
        <w:widowControl w:val="0"/>
        <w:pBdr>
          <w:top w:val="nil"/>
          <w:left w:val="nil"/>
          <w:bottom w:val="nil"/>
          <w:right w:val="nil"/>
          <w:between w:val="nil"/>
        </w:pBdr>
        <w:spacing w:after="0" w:line="240" w:lineRule="auto"/>
        <w:rPr>
          <w:rFonts w:ascii="Arial" w:eastAsia="Arial" w:hAnsi="Arial" w:cs="Arial"/>
          <w:color w:val="000000"/>
          <w:sz w:val="36"/>
          <w:szCs w:val="36"/>
        </w:rPr>
      </w:pPr>
    </w:p>
    <w:p w14:paraId="7CC2A0E4" w14:textId="42C427D0" w:rsidR="002A2CCD" w:rsidRPr="00884B8E" w:rsidRDefault="00897666">
      <w:pPr>
        <w:pStyle w:val="Ttulo1"/>
        <w:spacing w:before="0"/>
        <w:ind w:left="224"/>
        <w:rPr>
          <w:rFonts w:ascii="Arial" w:eastAsia="Arial" w:hAnsi="Arial" w:cs="Arial"/>
          <w:b w:val="0"/>
          <w:bCs w:val="0"/>
          <w:sz w:val="20"/>
          <w:szCs w:val="20"/>
        </w:rPr>
      </w:pPr>
      <w:bookmarkStart w:id="3" w:name="_heading=h.1fob9te" w:colFirst="0" w:colLast="0"/>
      <w:bookmarkEnd w:id="3"/>
      <w:r w:rsidRPr="00884B8E">
        <w:rPr>
          <w:rFonts w:ascii="Arial" w:eastAsia="Arial" w:hAnsi="Arial" w:cs="Arial"/>
          <w:b w:val="0"/>
          <w:bCs w:val="0"/>
          <w:sz w:val="20"/>
          <w:szCs w:val="20"/>
        </w:rPr>
        <w:t xml:space="preserve">Tabela 3 </w:t>
      </w:r>
      <w:r w:rsidR="0027504C"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 xml:space="preserve">Evolução de candidaturas nas </w:t>
      </w:r>
      <w:r w:rsidR="0027504C" w:rsidRPr="00884B8E">
        <w:rPr>
          <w:rFonts w:ascii="Arial" w:eastAsia="Arial" w:hAnsi="Arial" w:cs="Arial"/>
          <w:b w:val="0"/>
          <w:bCs w:val="0"/>
          <w:sz w:val="20"/>
          <w:szCs w:val="20"/>
        </w:rPr>
        <w:t xml:space="preserve">eleições </w:t>
      </w:r>
      <w:r w:rsidRPr="00884B8E">
        <w:rPr>
          <w:rFonts w:ascii="Arial" w:eastAsia="Arial" w:hAnsi="Arial" w:cs="Arial"/>
          <w:b w:val="0"/>
          <w:bCs w:val="0"/>
          <w:sz w:val="20"/>
          <w:szCs w:val="20"/>
        </w:rPr>
        <w:t>de 2020 (Brasil)</w:t>
      </w:r>
    </w:p>
    <w:tbl>
      <w:tblPr>
        <w:tblStyle w:val="a9"/>
        <w:tblW w:w="8013" w:type="dxa"/>
        <w:tblInd w:w="677"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2"/>
        <w:gridCol w:w="2669"/>
        <w:gridCol w:w="2672"/>
      </w:tblGrid>
      <w:tr w:rsidR="002A2CCD" w:rsidRPr="00884B8E" w14:paraId="037DBE72" w14:textId="77777777" w:rsidTr="00B81FF7">
        <w:trPr>
          <w:trHeight w:val="419"/>
        </w:trPr>
        <w:tc>
          <w:tcPr>
            <w:tcW w:w="2672" w:type="dxa"/>
            <w:shd w:val="clear" w:color="auto" w:fill="FFFFFF" w:themeFill="background1"/>
          </w:tcPr>
          <w:p w14:paraId="00E3FF43" w14:textId="77777777" w:rsidR="002A2CCD" w:rsidRPr="00884B8E" w:rsidRDefault="00897666">
            <w:pPr>
              <w:pBdr>
                <w:top w:val="nil"/>
                <w:left w:val="nil"/>
                <w:bottom w:val="nil"/>
                <w:right w:val="nil"/>
                <w:between w:val="nil"/>
              </w:pBdr>
              <w:spacing w:line="275" w:lineRule="auto"/>
              <w:ind w:left="674"/>
              <w:rPr>
                <w:rFonts w:ascii="Arial" w:eastAsia="Times New Roman" w:hAnsi="Arial" w:cs="Arial"/>
                <w:color w:val="000000"/>
                <w:sz w:val="20"/>
                <w:szCs w:val="20"/>
              </w:rPr>
            </w:pPr>
            <w:r w:rsidRPr="00884B8E">
              <w:rPr>
                <w:rFonts w:ascii="Arial" w:eastAsia="Times New Roman" w:hAnsi="Arial" w:cs="Arial"/>
                <w:color w:val="000000"/>
                <w:sz w:val="20"/>
                <w:szCs w:val="20"/>
              </w:rPr>
              <w:t>Abrangência</w:t>
            </w:r>
          </w:p>
        </w:tc>
        <w:tc>
          <w:tcPr>
            <w:tcW w:w="2669" w:type="dxa"/>
            <w:shd w:val="clear" w:color="auto" w:fill="FFFFFF" w:themeFill="background1"/>
          </w:tcPr>
          <w:p w14:paraId="45C44E4F" w14:textId="77777777" w:rsidR="002A2CCD" w:rsidRPr="00884B8E" w:rsidRDefault="00897666">
            <w:pPr>
              <w:pBdr>
                <w:top w:val="nil"/>
                <w:left w:val="nil"/>
                <w:bottom w:val="nil"/>
                <w:right w:val="nil"/>
                <w:between w:val="nil"/>
              </w:pBdr>
              <w:spacing w:line="275" w:lineRule="auto"/>
              <w:ind w:left="646" w:right="64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Ano eleitoral</w:t>
            </w:r>
          </w:p>
        </w:tc>
        <w:tc>
          <w:tcPr>
            <w:tcW w:w="2672" w:type="dxa"/>
            <w:shd w:val="clear" w:color="auto" w:fill="FFFFFF" w:themeFill="background1"/>
          </w:tcPr>
          <w:p w14:paraId="16FD038C" w14:textId="77777777" w:rsidR="002A2CCD" w:rsidRPr="00884B8E" w:rsidRDefault="00897666">
            <w:pPr>
              <w:pBdr>
                <w:top w:val="nil"/>
                <w:left w:val="nil"/>
                <w:bottom w:val="nil"/>
                <w:right w:val="nil"/>
                <w:between w:val="nil"/>
              </w:pBdr>
              <w:spacing w:line="275" w:lineRule="auto"/>
              <w:ind w:left="679"/>
              <w:rPr>
                <w:rFonts w:ascii="Arial" w:eastAsia="Times New Roman" w:hAnsi="Arial" w:cs="Arial"/>
                <w:color w:val="000000"/>
                <w:sz w:val="20"/>
                <w:szCs w:val="20"/>
              </w:rPr>
            </w:pPr>
            <w:r w:rsidRPr="00884B8E">
              <w:rPr>
                <w:rFonts w:ascii="Arial" w:eastAsia="Times New Roman" w:hAnsi="Arial" w:cs="Arial"/>
                <w:color w:val="000000"/>
                <w:sz w:val="20"/>
                <w:szCs w:val="20"/>
              </w:rPr>
              <w:t>Quantitativo</w:t>
            </w:r>
          </w:p>
        </w:tc>
      </w:tr>
      <w:tr w:rsidR="002A2CCD" w:rsidRPr="00884B8E" w14:paraId="185A9DF7" w14:textId="77777777" w:rsidTr="00B81FF7">
        <w:trPr>
          <w:trHeight w:val="419"/>
        </w:trPr>
        <w:tc>
          <w:tcPr>
            <w:tcW w:w="2672" w:type="dxa"/>
          </w:tcPr>
          <w:p w14:paraId="09FFD1D1" w14:textId="77777777" w:rsidR="002A2CCD" w:rsidRPr="00884B8E" w:rsidRDefault="00897666">
            <w:pPr>
              <w:pBdr>
                <w:top w:val="nil"/>
                <w:left w:val="nil"/>
                <w:bottom w:val="nil"/>
                <w:right w:val="nil"/>
                <w:between w:val="nil"/>
              </w:pBdr>
              <w:spacing w:line="275"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Brasil</w:t>
            </w:r>
          </w:p>
        </w:tc>
        <w:tc>
          <w:tcPr>
            <w:tcW w:w="2669" w:type="dxa"/>
          </w:tcPr>
          <w:p w14:paraId="3620ED75" w14:textId="77777777" w:rsidR="002A2CCD" w:rsidRPr="00884B8E" w:rsidRDefault="00897666">
            <w:pPr>
              <w:pBdr>
                <w:top w:val="nil"/>
                <w:left w:val="nil"/>
                <w:bottom w:val="nil"/>
                <w:right w:val="nil"/>
                <w:between w:val="nil"/>
              </w:pBdr>
              <w:spacing w:line="275" w:lineRule="auto"/>
              <w:ind w:left="646" w:right="642"/>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2016</w:t>
            </w:r>
          </w:p>
        </w:tc>
        <w:tc>
          <w:tcPr>
            <w:tcW w:w="2672" w:type="dxa"/>
          </w:tcPr>
          <w:p w14:paraId="284273A1" w14:textId="77777777" w:rsidR="002A2CCD" w:rsidRPr="00884B8E"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884B8E">
              <w:rPr>
                <w:rFonts w:ascii="Arial" w:eastAsia="Times New Roman" w:hAnsi="Arial" w:cs="Arial"/>
                <w:color w:val="000000"/>
                <w:sz w:val="20"/>
                <w:szCs w:val="20"/>
              </w:rPr>
              <w:t>496.927</w:t>
            </w:r>
          </w:p>
        </w:tc>
      </w:tr>
      <w:tr w:rsidR="002A2CCD" w:rsidRPr="00884B8E" w14:paraId="0227DA1D" w14:textId="77777777" w:rsidTr="00B81FF7">
        <w:trPr>
          <w:trHeight w:val="400"/>
        </w:trPr>
        <w:tc>
          <w:tcPr>
            <w:tcW w:w="2672" w:type="dxa"/>
          </w:tcPr>
          <w:p w14:paraId="676AC23A"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2669" w:type="dxa"/>
          </w:tcPr>
          <w:p w14:paraId="05AA1F70" w14:textId="77777777" w:rsidR="002A2CCD" w:rsidRPr="00884B8E" w:rsidRDefault="00897666">
            <w:pPr>
              <w:pBdr>
                <w:top w:val="nil"/>
                <w:left w:val="nil"/>
                <w:bottom w:val="nil"/>
                <w:right w:val="nil"/>
                <w:between w:val="nil"/>
              </w:pBdr>
              <w:spacing w:line="275" w:lineRule="auto"/>
              <w:ind w:left="646" w:right="642"/>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2020</w:t>
            </w:r>
          </w:p>
        </w:tc>
        <w:tc>
          <w:tcPr>
            <w:tcW w:w="2672" w:type="dxa"/>
          </w:tcPr>
          <w:p w14:paraId="6A84C288" w14:textId="77777777" w:rsidR="002A2CCD" w:rsidRPr="00884B8E"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884B8E">
              <w:rPr>
                <w:rFonts w:ascii="Arial" w:eastAsia="Times New Roman" w:hAnsi="Arial" w:cs="Arial"/>
                <w:color w:val="000000"/>
                <w:sz w:val="20"/>
                <w:szCs w:val="20"/>
              </w:rPr>
              <w:t>557.678</w:t>
            </w:r>
          </w:p>
        </w:tc>
      </w:tr>
    </w:tbl>
    <w:p w14:paraId="3D156AD5" w14:textId="46C575DC" w:rsidR="00B81FF7" w:rsidRPr="00884B8E" w:rsidRDefault="00B81FF7" w:rsidP="00B81FF7">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27504C" w:rsidRPr="00884B8E">
        <w:rPr>
          <w:rFonts w:ascii="Arial" w:eastAsia="Arial" w:hAnsi="Arial" w:cs="Arial"/>
          <w:sz w:val="20"/>
          <w:szCs w:val="20"/>
        </w:rPr>
        <w:t xml:space="preserve">. </w:t>
      </w:r>
    </w:p>
    <w:p w14:paraId="3C25E08C" w14:textId="77777777" w:rsidR="002A2CCD" w:rsidRPr="00827700" w:rsidRDefault="002A2CCD">
      <w:pPr>
        <w:spacing w:before="1"/>
        <w:ind w:left="228" w:right="253"/>
        <w:jc w:val="center"/>
        <w:rPr>
          <w:rFonts w:ascii="Arial" w:eastAsia="Times New Roman" w:hAnsi="Arial" w:cs="Arial"/>
          <w:sz w:val="20"/>
          <w:szCs w:val="20"/>
        </w:rPr>
      </w:pPr>
    </w:p>
    <w:p w14:paraId="14243899" w14:textId="2F969272" w:rsidR="002A2CCD" w:rsidRPr="00884B8E"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É importante ressaltar que esses números englobam os cargos para prefeitos, vice-prefeitos e vereadores. Em sentido geral, houve grande evolução nas candidaturas e, </w:t>
      </w:r>
      <w:r w:rsidR="0027504C" w:rsidRPr="00884B8E">
        <w:rPr>
          <w:rFonts w:ascii="Arial" w:eastAsia="Arial" w:hAnsi="Arial" w:cs="Arial"/>
          <w:color w:val="000000"/>
          <w:sz w:val="24"/>
          <w:szCs w:val="24"/>
        </w:rPr>
        <w:t xml:space="preserve">nesse </w:t>
      </w:r>
      <w:r w:rsidRPr="00884B8E">
        <w:rPr>
          <w:rFonts w:ascii="Arial" w:eastAsia="Arial" w:hAnsi="Arial" w:cs="Arial"/>
          <w:color w:val="000000"/>
          <w:sz w:val="24"/>
          <w:szCs w:val="24"/>
        </w:rPr>
        <w:t>cenário, questiona-se: como ficaram as candidaturas no marcador social de gênero? Como resposta</w:t>
      </w:r>
      <w:r w:rsidR="0027504C" w:rsidRPr="00884B8E">
        <w:rPr>
          <w:rFonts w:ascii="Arial" w:eastAsia="Arial" w:hAnsi="Arial" w:cs="Arial"/>
          <w:color w:val="000000"/>
          <w:sz w:val="24"/>
          <w:szCs w:val="24"/>
        </w:rPr>
        <w:t xml:space="preserve">, </w:t>
      </w:r>
      <w:r w:rsidRPr="00884B8E">
        <w:rPr>
          <w:rFonts w:ascii="Arial" w:eastAsia="Arial" w:hAnsi="Arial" w:cs="Arial"/>
          <w:color w:val="000000"/>
          <w:sz w:val="24"/>
          <w:szCs w:val="24"/>
        </w:rPr>
        <w:t>temos a delimitação no marcador social citado, contudo, para uma análise mais detalhada</w:t>
      </w:r>
      <w:r w:rsidR="0027504C"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serão utilizados somente os dados para o cargo de vereador, retirando o quantitativo referente a prefeito e vice-prefeito, apresentados pela tabela em sequência:</w:t>
      </w:r>
    </w:p>
    <w:p w14:paraId="4C9C01F9" w14:textId="77777777" w:rsidR="002A2CCD" w:rsidRPr="00884B8E" w:rsidRDefault="002A2CCD">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p>
    <w:p w14:paraId="180496BC" w14:textId="1F2CDCAB" w:rsidR="002A2CCD" w:rsidRPr="00884B8E" w:rsidRDefault="00897666">
      <w:pPr>
        <w:pStyle w:val="Ttulo1"/>
        <w:ind w:left="202" w:right="0"/>
        <w:rPr>
          <w:rFonts w:ascii="Arial" w:eastAsia="Arial" w:hAnsi="Arial" w:cs="Arial"/>
          <w:b w:val="0"/>
          <w:bCs w:val="0"/>
          <w:sz w:val="20"/>
          <w:szCs w:val="20"/>
        </w:rPr>
      </w:pPr>
      <w:bookmarkStart w:id="4" w:name="_heading=h.3znysh7" w:colFirst="0" w:colLast="0"/>
      <w:bookmarkEnd w:id="4"/>
      <w:r w:rsidRPr="00884B8E">
        <w:rPr>
          <w:rFonts w:ascii="Arial" w:eastAsia="Arial" w:hAnsi="Arial" w:cs="Arial"/>
          <w:b w:val="0"/>
          <w:bCs w:val="0"/>
          <w:sz w:val="20"/>
          <w:szCs w:val="20"/>
        </w:rPr>
        <w:t xml:space="preserve">Tabela 4 </w:t>
      </w:r>
      <w:r w:rsidR="0027504C"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 xml:space="preserve">Evolução de candidaturas nas </w:t>
      </w:r>
      <w:r w:rsidR="0027504C" w:rsidRPr="00884B8E">
        <w:rPr>
          <w:rFonts w:ascii="Arial" w:eastAsia="Arial" w:hAnsi="Arial" w:cs="Arial"/>
          <w:b w:val="0"/>
          <w:bCs w:val="0"/>
          <w:sz w:val="20"/>
          <w:szCs w:val="20"/>
        </w:rPr>
        <w:t xml:space="preserve">eleições </w:t>
      </w:r>
      <w:r w:rsidRPr="00884B8E">
        <w:rPr>
          <w:rFonts w:ascii="Arial" w:eastAsia="Arial" w:hAnsi="Arial" w:cs="Arial"/>
          <w:b w:val="0"/>
          <w:bCs w:val="0"/>
          <w:sz w:val="20"/>
          <w:szCs w:val="20"/>
        </w:rPr>
        <w:t>de 2020 por gênero (Brasil)</w:t>
      </w:r>
    </w:p>
    <w:tbl>
      <w:tblPr>
        <w:tblStyle w:val="aa"/>
        <w:tblW w:w="9037"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984"/>
        <w:gridCol w:w="1464"/>
        <w:gridCol w:w="1647"/>
        <w:gridCol w:w="1410"/>
        <w:gridCol w:w="1503"/>
      </w:tblGrid>
      <w:tr w:rsidR="002A2CCD" w:rsidRPr="00884B8E" w14:paraId="71BF2E88" w14:textId="77777777" w:rsidTr="00B81FF7">
        <w:trPr>
          <w:trHeight w:val="779"/>
        </w:trPr>
        <w:tc>
          <w:tcPr>
            <w:tcW w:w="2029" w:type="dxa"/>
            <w:shd w:val="clear" w:color="auto" w:fill="FFFFFF" w:themeFill="background1"/>
          </w:tcPr>
          <w:p w14:paraId="33A31906"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1303C9DC" w14:textId="77777777" w:rsidR="002A2CCD" w:rsidRPr="00884B8E" w:rsidRDefault="00897666">
            <w:pPr>
              <w:pBdr>
                <w:top w:val="nil"/>
                <w:left w:val="nil"/>
                <w:bottom w:val="nil"/>
                <w:right w:val="nil"/>
                <w:between w:val="nil"/>
              </w:pBdr>
              <w:ind w:left="412"/>
              <w:rPr>
                <w:rFonts w:ascii="Arial" w:eastAsia="Times New Roman" w:hAnsi="Arial" w:cs="Arial"/>
                <w:color w:val="000000"/>
                <w:sz w:val="20"/>
                <w:szCs w:val="20"/>
              </w:rPr>
            </w:pPr>
            <w:r w:rsidRPr="00884B8E">
              <w:rPr>
                <w:rFonts w:ascii="Arial" w:eastAsia="Times New Roman" w:hAnsi="Arial" w:cs="Arial"/>
                <w:color w:val="000000"/>
                <w:sz w:val="20"/>
                <w:szCs w:val="20"/>
              </w:rPr>
              <w:t>Abrangência</w:t>
            </w:r>
          </w:p>
        </w:tc>
        <w:tc>
          <w:tcPr>
            <w:tcW w:w="984" w:type="dxa"/>
            <w:shd w:val="clear" w:color="auto" w:fill="FFFFFF" w:themeFill="background1"/>
          </w:tcPr>
          <w:p w14:paraId="1363BCC4" w14:textId="77777777" w:rsidR="002A2CCD" w:rsidRPr="00884B8E" w:rsidRDefault="002A2CCD">
            <w:pPr>
              <w:pBdr>
                <w:top w:val="nil"/>
                <w:left w:val="nil"/>
                <w:bottom w:val="nil"/>
                <w:right w:val="nil"/>
                <w:between w:val="nil"/>
              </w:pBdr>
              <w:spacing w:before="6"/>
              <w:rPr>
                <w:rFonts w:ascii="Arial" w:eastAsia="Times New Roman" w:hAnsi="Arial" w:cs="Arial"/>
                <w:color w:val="000000"/>
                <w:sz w:val="20"/>
                <w:szCs w:val="20"/>
              </w:rPr>
            </w:pPr>
          </w:p>
          <w:p w14:paraId="744D5563" w14:textId="77777777" w:rsidR="002A2CCD" w:rsidRPr="00884B8E" w:rsidRDefault="00897666">
            <w:pPr>
              <w:pBdr>
                <w:top w:val="nil"/>
                <w:left w:val="nil"/>
                <w:bottom w:val="nil"/>
                <w:right w:val="nil"/>
                <w:between w:val="nil"/>
              </w:pBdr>
              <w:spacing w:line="252" w:lineRule="auto"/>
              <w:ind w:left="107" w:right="80" w:firstLine="189"/>
              <w:rPr>
                <w:rFonts w:ascii="Arial" w:eastAsia="Times New Roman" w:hAnsi="Arial" w:cs="Arial"/>
                <w:color w:val="000000"/>
                <w:sz w:val="20"/>
                <w:szCs w:val="20"/>
              </w:rPr>
            </w:pPr>
            <w:r w:rsidRPr="00884B8E">
              <w:rPr>
                <w:rFonts w:ascii="Arial" w:eastAsia="Times New Roman" w:hAnsi="Arial" w:cs="Arial"/>
                <w:color w:val="000000"/>
                <w:sz w:val="20"/>
                <w:szCs w:val="20"/>
              </w:rPr>
              <w:t>Ano eleitoral</w:t>
            </w:r>
          </w:p>
        </w:tc>
        <w:tc>
          <w:tcPr>
            <w:tcW w:w="1464" w:type="dxa"/>
            <w:shd w:val="clear" w:color="auto" w:fill="FFFFFF" w:themeFill="background1"/>
          </w:tcPr>
          <w:p w14:paraId="55D19AEB"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65310F32" w14:textId="77777777" w:rsidR="002A2CCD" w:rsidRPr="00884B8E" w:rsidRDefault="00897666">
            <w:pPr>
              <w:pBdr>
                <w:top w:val="nil"/>
                <w:left w:val="nil"/>
                <w:bottom w:val="nil"/>
                <w:right w:val="nil"/>
                <w:between w:val="nil"/>
              </w:pBdr>
              <w:ind w:left="301" w:right="29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Cargo</w:t>
            </w:r>
          </w:p>
        </w:tc>
        <w:tc>
          <w:tcPr>
            <w:tcW w:w="1647" w:type="dxa"/>
            <w:shd w:val="clear" w:color="auto" w:fill="FFFFFF" w:themeFill="background1"/>
          </w:tcPr>
          <w:p w14:paraId="2620EB99"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57FB1EC7" w14:textId="77777777" w:rsidR="002A2CCD" w:rsidRPr="00884B8E" w:rsidRDefault="00897666">
            <w:pPr>
              <w:pBdr>
                <w:top w:val="nil"/>
                <w:left w:val="nil"/>
                <w:bottom w:val="nil"/>
                <w:right w:val="nil"/>
                <w:between w:val="nil"/>
              </w:pBdr>
              <w:ind w:left="474"/>
              <w:rPr>
                <w:rFonts w:ascii="Arial" w:eastAsia="Times New Roman" w:hAnsi="Arial" w:cs="Arial"/>
                <w:color w:val="000000"/>
                <w:sz w:val="20"/>
                <w:szCs w:val="20"/>
              </w:rPr>
            </w:pPr>
            <w:r w:rsidRPr="00884B8E">
              <w:rPr>
                <w:rFonts w:ascii="Arial" w:eastAsia="Times New Roman" w:hAnsi="Arial" w:cs="Arial"/>
                <w:color w:val="000000"/>
                <w:sz w:val="20"/>
                <w:szCs w:val="20"/>
              </w:rPr>
              <w:t>Gênero</w:t>
            </w:r>
          </w:p>
        </w:tc>
        <w:tc>
          <w:tcPr>
            <w:tcW w:w="1410" w:type="dxa"/>
            <w:shd w:val="clear" w:color="auto" w:fill="FFFFFF" w:themeFill="background1"/>
          </w:tcPr>
          <w:p w14:paraId="57D89C19"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2BE942D3" w14:textId="77777777" w:rsidR="002A2CCD" w:rsidRPr="00884B8E" w:rsidRDefault="00897666">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Quantitativo</w:t>
            </w:r>
          </w:p>
        </w:tc>
        <w:tc>
          <w:tcPr>
            <w:tcW w:w="1503" w:type="dxa"/>
            <w:shd w:val="clear" w:color="auto" w:fill="FFFFFF" w:themeFill="background1"/>
          </w:tcPr>
          <w:p w14:paraId="2EB56707" w14:textId="77777777" w:rsidR="002A2CCD" w:rsidRPr="00884B8E" w:rsidRDefault="002A2CCD">
            <w:pPr>
              <w:pBdr>
                <w:top w:val="nil"/>
                <w:left w:val="nil"/>
                <w:bottom w:val="nil"/>
                <w:right w:val="nil"/>
                <w:between w:val="nil"/>
              </w:pBdr>
              <w:spacing w:before="6"/>
              <w:rPr>
                <w:rFonts w:ascii="Arial" w:eastAsia="Times New Roman" w:hAnsi="Arial" w:cs="Arial"/>
                <w:color w:val="000000"/>
                <w:sz w:val="20"/>
                <w:szCs w:val="20"/>
              </w:rPr>
            </w:pPr>
          </w:p>
          <w:p w14:paraId="003E513D" w14:textId="77777777" w:rsidR="002A2CCD" w:rsidRPr="00884B8E" w:rsidRDefault="00897666">
            <w:pPr>
              <w:pBdr>
                <w:top w:val="nil"/>
                <w:left w:val="nil"/>
                <w:bottom w:val="nil"/>
                <w:right w:val="nil"/>
                <w:between w:val="nil"/>
              </w:pBdr>
              <w:spacing w:line="252" w:lineRule="auto"/>
              <w:ind w:left="566" w:right="113" w:hanging="435"/>
              <w:rPr>
                <w:rFonts w:ascii="Arial" w:eastAsia="Times New Roman" w:hAnsi="Arial" w:cs="Arial"/>
                <w:color w:val="000000"/>
                <w:sz w:val="20"/>
                <w:szCs w:val="20"/>
              </w:rPr>
            </w:pPr>
            <w:r w:rsidRPr="00884B8E">
              <w:rPr>
                <w:rFonts w:ascii="Arial" w:eastAsia="Times New Roman" w:hAnsi="Arial" w:cs="Arial"/>
                <w:color w:val="000000"/>
                <w:sz w:val="20"/>
                <w:szCs w:val="20"/>
              </w:rPr>
              <w:t>Porcentagem (%)</w:t>
            </w:r>
          </w:p>
        </w:tc>
      </w:tr>
      <w:tr w:rsidR="002A2CCD" w:rsidRPr="00884B8E" w14:paraId="37574868" w14:textId="77777777" w:rsidTr="00B81FF7">
        <w:trPr>
          <w:trHeight w:val="257"/>
        </w:trPr>
        <w:tc>
          <w:tcPr>
            <w:tcW w:w="2029" w:type="dxa"/>
          </w:tcPr>
          <w:p w14:paraId="4E68F90A" w14:textId="77777777" w:rsidR="002A2CCD" w:rsidRPr="00884B8E"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Brasil</w:t>
            </w:r>
          </w:p>
        </w:tc>
        <w:tc>
          <w:tcPr>
            <w:tcW w:w="984" w:type="dxa"/>
          </w:tcPr>
          <w:p w14:paraId="2C26D092" w14:textId="77777777" w:rsidR="002A2CCD" w:rsidRPr="00884B8E" w:rsidRDefault="00897666">
            <w:pPr>
              <w:pBdr>
                <w:top w:val="nil"/>
                <w:left w:val="nil"/>
                <w:bottom w:val="nil"/>
                <w:right w:val="nil"/>
                <w:between w:val="nil"/>
              </w:pBdr>
              <w:spacing w:line="232" w:lineRule="auto"/>
              <w:ind w:left="253" w:right="243"/>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2016</w:t>
            </w:r>
          </w:p>
        </w:tc>
        <w:tc>
          <w:tcPr>
            <w:tcW w:w="1464" w:type="dxa"/>
          </w:tcPr>
          <w:p w14:paraId="681C4601" w14:textId="77777777" w:rsidR="002A2CCD" w:rsidRPr="00884B8E" w:rsidRDefault="00897666">
            <w:pPr>
              <w:pBdr>
                <w:top w:val="nil"/>
                <w:left w:val="nil"/>
                <w:bottom w:val="nil"/>
                <w:right w:val="nil"/>
                <w:between w:val="nil"/>
              </w:pBdr>
              <w:spacing w:line="232" w:lineRule="auto"/>
              <w:ind w:left="303" w:right="29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Vereador</w:t>
            </w:r>
          </w:p>
        </w:tc>
        <w:tc>
          <w:tcPr>
            <w:tcW w:w="1647" w:type="dxa"/>
          </w:tcPr>
          <w:p w14:paraId="1FB693D2" w14:textId="77777777" w:rsidR="002A2CCD" w:rsidRPr="00884B8E"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Não divulgável</w:t>
            </w:r>
          </w:p>
        </w:tc>
        <w:tc>
          <w:tcPr>
            <w:tcW w:w="1410" w:type="dxa"/>
          </w:tcPr>
          <w:p w14:paraId="3A5191A4" w14:textId="77777777" w:rsidR="002A2CCD" w:rsidRPr="00884B8E" w:rsidRDefault="00897666">
            <w:pPr>
              <w:pBdr>
                <w:top w:val="nil"/>
                <w:left w:val="nil"/>
                <w:bottom w:val="nil"/>
                <w:right w:val="nil"/>
                <w:between w:val="nil"/>
              </w:pBdr>
              <w:spacing w:line="232" w:lineRule="auto"/>
              <w:ind w:right="98"/>
              <w:jc w:val="right"/>
              <w:rPr>
                <w:rFonts w:ascii="Arial" w:eastAsia="Times New Roman" w:hAnsi="Arial" w:cs="Arial"/>
                <w:color w:val="000000"/>
                <w:sz w:val="20"/>
                <w:szCs w:val="20"/>
              </w:rPr>
            </w:pPr>
            <w:r w:rsidRPr="00884B8E">
              <w:rPr>
                <w:rFonts w:ascii="Arial" w:eastAsia="Times New Roman" w:hAnsi="Arial" w:cs="Arial"/>
                <w:color w:val="000000"/>
                <w:sz w:val="20"/>
                <w:szCs w:val="20"/>
              </w:rPr>
              <w:t>34</w:t>
            </w:r>
          </w:p>
        </w:tc>
        <w:tc>
          <w:tcPr>
            <w:tcW w:w="1503" w:type="dxa"/>
          </w:tcPr>
          <w:p w14:paraId="664D1CD0" w14:textId="77777777" w:rsidR="002A2CCD" w:rsidRPr="00884B8E"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0,01%</w:t>
            </w:r>
          </w:p>
        </w:tc>
      </w:tr>
      <w:tr w:rsidR="002A2CCD" w:rsidRPr="00884B8E" w14:paraId="02A26340" w14:textId="77777777" w:rsidTr="00B81FF7">
        <w:trPr>
          <w:trHeight w:val="260"/>
        </w:trPr>
        <w:tc>
          <w:tcPr>
            <w:tcW w:w="2029" w:type="dxa"/>
          </w:tcPr>
          <w:p w14:paraId="2A81866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460D5E2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09E2D8DD"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5EA65B11" w14:textId="77777777" w:rsidR="002A2CCD" w:rsidRPr="00884B8E"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Feminino</w:t>
            </w:r>
          </w:p>
        </w:tc>
        <w:tc>
          <w:tcPr>
            <w:tcW w:w="1410" w:type="dxa"/>
          </w:tcPr>
          <w:p w14:paraId="2F0091A4" w14:textId="77777777" w:rsidR="002A2CCD" w:rsidRPr="00884B8E" w:rsidRDefault="00897666">
            <w:pPr>
              <w:pBdr>
                <w:top w:val="nil"/>
                <w:left w:val="nil"/>
                <w:bottom w:val="nil"/>
                <w:right w:val="nil"/>
                <w:between w:val="nil"/>
              </w:pBdr>
              <w:spacing w:line="234"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153.312</w:t>
            </w:r>
          </w:p>
        </w:tc>
        <w:tc>
          <w:tcPr>
            <w:tcW w:w="1503" w:type="dxa"/>
          </w:tcPr>
          <w:p w14:paraId="43DFFAB9" w14:textId="77777777" w:rsidR="002A2CCD" w:rsidRPr="00884B8E"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33,08%</w:t>
            </w:r>
          </w:p>
        </w:tc>
      </w:tr>
      <w:tr w:rsidR="002A2CCD" w:rsidRPr="00884B8E" w14:paraId="09DB3B85" w14:textId="77777777" w:rsidTr="00B81FF7">
        <w:trPr>
          <w:trHeight w:val="257"/>
        </w:trPr>
        <w:tc>
          <w:tcPr>
            <w:tcW w:w="2029" w:type="dxa"/>
          </w:tcPr>
          <w:p w14:paraId="2AC6522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1549D1ED"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C0726F8"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496EE8EF" w14:textId="77777777" w:rsidR="002A2CCD" w:rsidRPr="00884B8E"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Masculino</w:t>
            </w:r>
          </w:p>
        </w:tc>
        <w:tc>
          <w:tcPr>
            <w:tcW w:w="1410" w:type="dxa"/>
          </w:tcPr>
          <w:p w14:paraId="3EEB07CB"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310.059</w:t>
            </w:r>
          </w:p>
        </w:tc>
        <w:tc>
          <w:tcPr>
            <w:tcW w:w="1503" w:type="dxa"/>
          </w:tcPr>
          <w:p w14:paraId="5996D0F5" w14:textId="77777777" w:rsidR="002A2CCD" w:rsidRPr="00884B8E"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66,91%</w:t>
            </w:r>
          </w:p>
        </w:tc>
      </w:tr>
      <w:tr w:rsidR="002A2CCD" w:rsidRPr="00884B8E" w14:paraId="2F90CBF7" w14:textId="77777777" w:rsidTr="00B81FF7">
        <w:trPr>
          <w:trHeight w:val="260"/>
        </w:trPr>
        <w:tc>
          <w:tcPr>
            <w:tcW w:w="2029" w:type="dxa"/>
          </w:tcPr>
          <w:p w14:paraId="3A87221A" w14:textId="77777777" w:rsidR="002A2CCD" w:rsidRPr="00884B8E"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Cargo</w:t>
            </w:r>
          </w:p>
        </w:tc>
        <w:tc>
          <w:tcPr>
            <w:tcW w:w="984" w:type="dxa"/>
          </w:tcPr>
          <w:p w14:paraId="6D340F8B"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01452802"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551C8667"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425D07AB" w14:textId="77777777" w:rsidR="002A2CCD" w:rsidRPr="00884B8E"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463.405</w:t>
            </w:r>
          </w:p>
        </w:tc>
        <w:tc>
          <w:tcPr>
            <w:tcW w:w="1503" w:type="dxa"/>
          </w:tcPr>
          <w:p w14:paraId="05FBFFCB"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48358329" w14:textId="77777777" w:rsidTr="00B81FF7">
        <w:trPr>
          <w:trHeight w:val="257"/>
        </w:trPr>
        <w:tc>
          <w:tcPr>
            <w:tcW w:w="2029" w:type="dxa"/>
          </w:tcPr>
          <w:p w14:paraId="60ED8591" w14:textId="77777777" w:rsidR="002A2CCD" w:rsidRPr="00884B8E"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lastRenderedPageBreak/>
              <w:t>Total Abrangência</w:t>
            </w:r>
          </w:p>
        </w:tc>
        <w:tc>
          <w:tcPr>
            <w:tcW w:w="984" w:type="dxa"/>
          </w:tcPr>
          <w:p w14:paraId="1329E66B"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979491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4CF52C34"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74AD999C"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463.405</w:t>
            </w:r>
          </w:p>
        </w:tc>
        <w:tc>
          <w:tcPr>
            <w:tcW w:w="1503" w:type="dxa"/>
          </w:tcPr>
          <w:p w14:paraId="42EAE3E4"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521CBABF" w14:textId="77777777" w:rsidTr="00B81FF7">
        <w:trPr>
          <w:trHeight w:val="259"/>
        </w:trPr>
        <w:tc>
          <w:tcPr>
            <w:tcW w:w="2029" w:type="dxa"/>
          </w:tcPr>
          <w:p w14:paraId="47F593DC"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33364234"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3969237"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274333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3EDD28F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503" w:type="dxa"/>
          </w:tcPr>
          <w:p w14:paraId="45791B6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576488C9" w14:textId="77777777" w:rsidTr="00B81FF7">
        <w:trPr>
          <w:trHeight w:val="260"/>
        </w:trPr>
        <w:tc>
          <w:tcPr>
            <w:tcW w:w="2029" w:type="dxa"/>
          </w:tcPr>
          <w:p w14:paraId="33350F0C" w14:textId="77777777" w:rsidR="002A2CCD" w:rsidRPr="00884B8E" w:rsidRDefault="00897666">
            <w:pPr>
              <w:pBdr>
                <w:top w:val="nil"/>
                <w:left w:val="nil"/>
                <w:bottom w:val="nil"/>
                <w:right w:val="nil"/>
                <w:between w:val="nil"/>
              </w:pBdr>
              <w:spacing w:line="234"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Brasil</w:t>
            </w:r>
          </w:p>
        </w:tc>
        <w:tc>
          <w:tcPr>
            <w:tcW w:w="984" w:type="dxa"/>
          </w:tcPr>
          <w:p w14:paraId="158F1B26" w14:textId="77777777" w:rsidR="002A2CCD" w:rsidRPr="00884B8E" w:rsidRDefault="00897666">
            <w:pPr>
              <w:pBdr>
                <w:top w:val="nil"/>
                <w:left w:val="nil"/>
                <w:bottom w:val="nil"/>
                <w:right w:val="nil"/>
                <w:between w:val="nil"/>
              </w:pBdr>
              <w:spacing w:line="234" w:lineRule="auto"/>
              <w:ind w:left="253" w:right="243"/>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2020</w:t>
            </w:r>
          </w:p>
        </w:tc>
        <w:tc>
          <w:tcPr>
            <w:tcW w:w="1464" w:type="dxa"/>
          </w:tcPr>
          <w:p w14:paraId="2E1147D7" w14:textId="77777777" w:rsidR="002A2CCD" w:rsidRPr="00884B8E" w:rsidRDefault="00897666">
            <w:pPr>
              <w:pBdr>
                <w:top w:val="nil"/>
                <w:left w:val="nil"/>
                <w:bottom w:val="nil"/>
                <w:right w:val="nil"/>
                <w:between w:val="nil"/>
              </w:pBdr>
              <w:spacing w:line="234" w:lineRule="auto"/>
              <w:ind w:left="303" w:right="29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Vereador</w:t>
            </w:r>
          </w:p>
        </w:tc>
        <w:tc>
          <w:tcPr>
            <w:tcW w:w="1647" w:type="dxa"/>
          </w:tcPr>
          <w:p w14:paraId="67FDBE12" w14:textId="77777777" w:rsidR="002A2CCD" w:rsidRPr="00884B8E"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Não divulgável</w:t>
            </w:r>
          </w:p>
        </w:tc>
        <w:tc>
          <w:tcPr>
            <w:tcW w:w="1410" w:type="dxa"/>
          </w:tcPr>
          <w:p w14:paraId="0C71B6DF" w14:textId="77777777" w:rsidR="002A2CCD" w:rsidRPr="00884B8E" w:rsidRDefault="00897666">
            <w:pPr>
              <w:pBdr>
                <w:top w:val="nil"/>
                <w:left w:val="nil"/>
                <w:bottom w:val="nil"/>
                <w:right w:val="nil"/>
                <w:between w:val="nil"/>
              </w:pBdr>
              <w:spacing w:line="234" w:lineRule="auto"/>
              <w:ind w:right="98"/>
              <w:jc w:val="right"/>
              <w:rPr>
                <w:rFonts w:ascii="Arial" w:eastAsia="Times New Roman" w:hAnsi="Arial" w:cs="Arial"/>
                <w:color w:val="000000"/>
                <w:sz w:val="20"/>
                <w:szCs w:val="20"/>
              </w:rPr>
            </w:pPr>
            <w:r w:rsidRPr="00884B8E">
              <w:rPr>
                <w:rFonts w:ascii="Arial" w:eastAsia="Times New Roman" w:hAnsi="Arial" w:cs="Arial"/>
                <w:color w:val="000000"/>
                <w:sz w:val="20"/>
                <w:szCs w:val="20"/>
              </w:rPr>
              <w:t>158</w:t>
            </w:r>
          </w:p>
        </w:tc>
        <w:tc>
          <w:tcPr>
            <w:tcW w:w="1503" w:type="dxa"/>
          </w:tcPr>
          <w:p w14:paraId="018145EF" w14:textId="77777777" w:rsidR="002A2CCD" w:rsidRPr="00884B8E"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0,03%</w:t>
            </w:r>
          </w:p>
        </w:tc>
      </w:tr>
      <w:tr w:rsidR="002A2CCD" w:rsidRPr="00884B8E" w14:paraId="58A75E40" w14:textId="77777777" w:rsidTr="00B81FF7">
        <w:trPr>
          <w:trHeight w:val="257"/>
        </w:trPr>
        <w:tc>
          <w:tcPr>
            <w:tcW w:w="2029" w:type="dxa"/>
          </w:tcPr>
          <w:p w14:paraId="46E0723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2B8B970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252EC87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ECCF837" w14:textId="77777777" w:rsidR="002A2CCD" w:rsidRPr="00884B8E"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Feminino</w:t>
            </w:r>
          </w:p>
        </w:tc>
        <w:tc>
          <w:tcPr>
            <w:tcW w:w="1410" w:type="dxa"/>
          </w:tcPr>
          <w:p w14:paraId="685B02EF"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180.218</w:t>
            </w:r>
          </w:p>
        </w:tc>
        <w:tc>
          <w:tcPr>
            <w:tcW w:w="1503" w:type="dxa"/>
          </w:tcPr>
          <w:p w14:paraId="068C8A6E" w14:textId="77777777" w:rsidR="002A2CCD" w:rsidRPr="00884B8E"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34,76%</w:t>
            </w:r>
          </w:p>
        </w:tc>
      </w:tr>
      <w:tr w:rsidR="002A2CCD" w:rsidRPr="00884B8E" w14:paraId="0D43ED73" w14:textId="77777777" w:rsidTr="00B81FF7">
        <w:trPr>
          <w:trHeight w:val="260"/>
        </w:trPr>
        <w:tc>
          <w:tcPr>
            <w:tcW w:w="2029" w:type="dxa"/>
          </w:tcPr>
          <w:p w14:paraId="27D7913F"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13EBE91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5C5AE576"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2621B73C" w14:textId="77777777" w:rsidR="002A2CCD" w:rsidRPr="00884B8E" w:rsidRDefault="00897666">
            <w:pPr>
              <w:pBdr>
                <w:top w:val="nil"/>
                <w:left w:val="nil"/>
                <w:bottom w:val="nil"/>
                <w:right w:val="nil"/>
                <w:between w:val="nil"/>
              </w:pBdr>
              <w:spacing w:line="235"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Masculino</w:t>
            </w:r>
          </w:p>
        </w:tc>
        <w:tc>
          <w:tcPr>
            <w:tcW w:w="1410" w:type="dxa"/>
          </w:tcPr>
          <w:p w14:paraId="767F4AB1" w14:textId="77777777" w:rsidR="002A2CCD" w:rsidRPr="00884B8E" w:rsidRDefault="00897666">
            <w:pPr>
              <w:pBdr>
                <w:top w:val="nil"/>
                <w:left w:val="nil"/>
                <w:bottom w:val="nil"/>
                <w:right w:val="nil"/>
                <w:between w:val="nil"/>
              </w:pBdr>
              <w:spacing w:line="235"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338.109</w:t>
            </w:r>
          </w:p>
        </w:tc>
        <w:tc>
          <w:tcPr>
            <w:tcW w:w="1503" w:type="dxa"/>
          </w:tcPr>
          <w:p w14:paraId="0C615699" w14:textId="77777777" w:rsidR="002A2CCD" w:rsidRPr="00884B8E" w:rsidRDefault="00897666">
            <w:pPr>
              <w:pBdr>
                <w:top w:val="nil"/>
                <w:left w:val="nil"/>
                <w:bottom w:val="nil"/>
                <w:right w:val="nil"/>
                <w:between w:val="nil"/>
              </w:pBdr>
              <w:spacing w:line="235"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65,21%</w:t>
            </w:r>
          </w:p>
        </w:tc>
      </w:tr>
      <w:tr w:rsidR="002A2CCD" w:rsidRPr="00884B8E" w14:paraId="111CFA20" w14:textId="77777777" w:rsidTr="00B81FF7">
        <w:trPr>
          <w:trHeight w:val="257"/>
        </w:trPr>
        <w:tc>
          <w:tcPr>
            <w:tcW w:w="2029" w:type="dxa"/>
          </w:tcPr>
          <w:p w14:paraId="01F8FB4B" w14:textId="77777777" w:rsidR="002A2CCD" w:rsidRPr="00884B8E"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Cargo</w:t>
            </w:r>
          </w:p>
        </w:tc>
        <w:tc>
          <w:tcPr>
            <w:tcW w:w="984" w:type="dxa"/>
          </w:tcPr>
          <w:p w14:paraId="47CD2DA9"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255D75D4"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D7E10CC"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3857203A"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518.485</w:t>
            </w:r>
          </w:p>
        </w:tc>
        <w:tc>
          <w:tcPr>
            <w:tcW w:w="1503" w:type="dxa"/>
          </w:tcPr>
          <w:p w14:paraId="017C1AC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74FD5076" w14:textId="77777777" w:rsidTr="00B81FF7">
        <w:trPr>
          <w:trHeight w:val="260"/>
        </w:trPr>
        <w:tc>
          <w:tcPr>
            <w:tcW w:w="2029" w:type="dxa"/>
          </w:tcPr>
          <w:p w14:paraId="1FB45453" w14:textId="77777777" w:rsidR="002A2CCD" w:rsidRPr="00884B8E"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Abrangência</w:t>
            </w:r>
          </w:p>
        </w:tc>
        <w:tc>
          <w:tcPr>
            <w:tcW w:w="984" w:type="dxa"/>
          </w:tcPr>
          <w:p w14:paraId="6413CA0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663B71BC"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11871802"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06B0CEFC" w14:textId="77777777" w:rsidR="002A2CCD" w:rsidRPr="00884B8E"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518.485</w:t>
            </w:r>
          </w:p>
        </w:tc>
        <w:tc>
          <w:tcPr>
            <w:tcW w:w="1503" w:type="dxa"/>
          </w:tcPr>
          <w:p w14:paraId="48014D3F"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bl>
    <w:p w14:paraId="557A52D6" w14:textId="206F8957" w:rsidR="00B81FF7" w:rsidRPr="00884B8E" w:rsidRDefault="00B81FF7" w:rsidP="00B81FF7">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27504C" w:rsidRPr="00884B8E">
        <w:rPr>
          <w:rFonts w:ascii="Arial" w:eastAsia="Arial" w:hAnsi="Arial" w:cs="Arial"/>
          <w:sz w:val="20"/>
          <w:szCs w:val="20"/>
        </w:rPr>
        <w:t xml:space="preserve">. </w:t>
      </w:r>
    </w:p>
    <w:p w14:paraId="10375D54" w14:textId="77777777" w:rsidR="002A2CCD" w:rsidRPr="00827700" w:rsidRDefault="002A2CCD">
      <w:pPr>
        <w:widowControl w:val="0"/>
        <w:pBdr>
          <w:top w:val="nil"/>
          <w:left w:val="nil"/>
          <w:bottom w:val="nil"/>
          <w:right w:val="nil"/>
          <w:between w:val="nil"/>
        </w:pBdr>
        <w:spacing w:after="0" w:line="240" w:lineRule="auto"/>
        <w:rPr>
          <w:rFonts w:ascii="Arial" w:eastAsia="Times New Roman" w:hAnsi="Arial" w:cs="Arial"/>
          <w:color w:val="000000"/>
        </w:rPr>
      </w:pPr>
    </w:p>
    <w:p w14:paraId="091FBBA8" w14:textId="77777777" w:rsidR="0062438C" w:rsidRPr="00884B8E" w:rsidRDefault="004C489D" w:rsidP="0062438C">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sidRPr="00884B8E">
        <w:rPr>
          <w:rFonts w:ascii="Arial" w:eastAsia="Arial" w:hAnsi="Arial" w:cs="Arial"/>
          <w:color w:val="000000"/>
          <w:sz w:val="24"/>
          <w:szCs w:val="24"/>
        </w:rPr>
        <w:t>O</w:t>
      </w:r>
      <w:r w:rsidR="00B3569C" w:rsidRPr="00884B8E">
        <w:rPr>
          <w:rFonts w:ascii="Arial" w:eastAsia="Arial" w:hAnsi="Arial" w:cs="Arial"/>
          <w:color w:val="000000"/>
          <w:sz w:val="24"/>
          <w:szCs w:val="24"/>
        </w:rPr>
        <w:t xml:space="preserve"> Tribunal Superior Eleitoral (TSE) incluiu uma categoria chamada de não identificado na distribuição das candidaturas por gênero, além das categorias feminino e masculino. Essa categoria foi </w:t>
      </w:r>
      <w:r w:rsidR="0062438C" w:rsidRPr="00884B8E">
        <w:rPr>
          <w:rFonts w:ascii="Arial" w:eastAsia="Arial" w:hAnsi="Arial" w:cs="Arial"/>
          <w:color w:val="000000"/>
          <w:sz w:val="24"/>
          <w:szCs w:val="24"/>
        </w:rPr>
        <w:t>criada</w:t>
      </w:r>
      <w:r w:rsidR="00B3569C" w:rsidRPr="00884B8E">
        <w:rPr>
          <w:rFonts w:ascii="Arial" w:eastAsia="Arial" w:hAnsi="Arial" w:cs="Arial"/>
          <w:color w:val="000000"/>
          <w:sz w:val="24"/>
          <w:szCs w:val="24"/>
        </w:rPr>
        <w:t xml:space="preserve"> para contemplar situações em que a identificação de gênero do candidato ou candidata não estava especificada, ou para os casos em que a pessoa não se identificava nem como homem nem como mulher, o que inclui pessoas de identidades de gênero não binárias ou que optaram por não declarar um gênero específico. </w:t>
      </w:r>
    </w:p>
    <w:p w14:paraId="370420B4" w14:textId="5FF67F7C" w:rsidR="002A2CCD" w:rsidRPr="00884B8E" w:rsidRDefault="00897666" w:rsidP="0062438C">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sidRPr="00884B8E">
        <w:rPr>
          <w:rFonts w:ascii="Arial" w:eastAsia="Arial" w:hAnsi="Arial" w:cs="Arial"/>
          <w:color w:val="000000"/>
          <w:sz w:val="24"/>
          <w:szCs w:val="24"/>
        </w:rPr>
        <w:t>Com base nos dados</w:t>
      </w:r>
      <w:r w:rsidR="0027504C"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é perceptível que em âmbito nacional as candidaturas femininas para o cargo de vereadores aumentaram</w:t>
      </w:r>
      <w:r w:rsidR="0027504C" w:rsidRPr="00884B8E">
        <w:rPr>
          <w:rFonts w:ascii="Arial" w:eastAsia="Arial" w:hAnsi="Arial" w:cs="Arial"/>
          <w:color w:val="000000"/>
          <w:sz w:val="24"/>
          <w:szCs w:val="24"/>
        </w:rPr>
        <w:t xml:space="preserve"> e </w:t>
      </w:r>
      <w:r w:rsidR="008A36F4" w:rsidRPr="00884B8E">
        <w:rPr>
          <w:rFonts w:ascii="Arial" w:eastAsia="Arial" w:hAnsi="Arial" w:cs="Arial"/>
          <w:color w:val="000000"/>
          <w:sz w:val="24"/>
          <w:szCs w:val="24"/>
        </w:rPr>
        <w:t>a análise descritiva permite ob</w:t>
      </w:r>
      <w:r w:rsidR="008E17DE" w:rsidRPr="00884B8E">
        <w:rPr>
          <w:rFonts w:ascii="Arial" w:eastAsia="Arial" w:hAnsi="Arial" w:cs="Arial"/>
          <w:color w:val="000000"/>
          <w:sz w:val="24"/>
          <w:szCs w:val="24"/>
        </w:rPr>
        <w:t>s</w:t>
      </w:r>
      <w:r w:rsidR="008A36F4" w:rsidRPr="00884B8E">
        <w:rPr>
          <w:rFonts w:ascii="Arial" w:eastAsia="Arial" w:hAnsi="Arial" w:cs="Arial"/>
          <w:color w:val="000000"/>
          <w:sz w:val="24"/>
          <w:szCs w:val="24"/>
        </w:rPr>
        <w:t>ervar</w:t>
      </w:r>
      <w:r w:rsidRPr="00884B8E">
        <w:rPr>
          <w:rFonts w:ascii="Arial" w:eastAsia="Arial" w:hAnsi="Arial" w:cs="Arial"/>
          <w:color w:val="000000"/>
          <w:sz w:val="24"/>
          <w:szCs w:val="24"/>
        </w:rPr>
        <w:t xml:space="preserve"> </w:t>
      </w:r>
      <w:r w:rsidR="008A36F4" w:rsidRPr="00884B8E">
        <w:rPr>
          <w:rFonts w:ascii="Arial" w:eastAsia="Arial" w:hAnsi="Arial" w:cs="Arial"/>
          <w:color w:val="000000"/>
          <w:sz w:val="24"/>
          <w:szCs w:val="24"/>
        </w:rPr>
        <w:t>que</w:t>
      </w:r>
      <w:r w:rsidRPr="00884B8E">
        <w:rPr>
          <w:rFonts w:ascii="Arial" w:eastAsia="Arial" w:hAnsi="Arial" w:cs="Arial"/>
          <w:color w:val="000000"/>
          <w:sz w:val="24"/>
          <w:szCs w:val="24"/>
        </w:rPr>
        <w:t xml:space="preserve"> ao tempo que as candidaturas femininas aumentam, as candidaturas masculinas proporcionalmente diminuíram.</w:t>
      </w:r>
    </w:p>
    <w:p w14:paraId="34677448" w14:textId="7CDF5823" w:rsidR="002A2CCD" w:rsidRPr="00884B8E"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O repositório do Tribunal Superior Eleitoral publicou os resultados nacionais das eleições de 2020 e os números apresentados desperta</w:t>
      </w:r>
      <w:r w:rsidR="00B053A0" w:rsidRPr="00884B8E">
        <w:rPr>
          <w:rFonts w:ascii="Arial" w:eastAsia="Arial" w:hAnsi="Arial" w:cs="Arial"/>
          <w:color w:val="000000"/>
          <w:sz w:val="24"/>
          <w:szCs w:val="24"/>
        </w:rPr>
        <w:t>ra</w:t>
      </w:r>
      <w:r w:rsidRPr="00884B8E">
        <w:rPr>
          <w:rFonts w:ascii="Arial" w:eastAsia="Arial" w:hAnsi="Arial" w:cs="Arial"/>
          <w:color w:val="000000"/>
          <w:sz w:val="24"/>
          <w:szCs w:val="24"/>
        </w:rPr>
        <w:t>m um olhar de pusilanimidade,</w:t>
      </w:r>
      <w:r w:rsidR="00B053A0" w:rsidRPr="00884B8E">
        <w:rPr>
          <w:rFonts w:ascii="Arial" w:eastAsia="Arial" w:hAnsi="Arial" w:cs="Arial"/>
          <w:color w:val="000000"/>
          <w:sz w:val="24"/>
          <w:szCs w:val="24"/>
        </w:rPr>
        <w:t xml:space="preserve"> uma vez que</w:t>
      </w:r>
      <w:r w:rsidRPr="00884B8E">
        <w:rPr>
          <w:rFonts w:ascii="Arial" w:eastAsia="Arial" w:hAnsi="Arial" w:cs="Arial"/>
          <w:color w:val="000000"/>
          <w:sz w:val="24"/>
          <w:szCs w:val="24"/>
        </w:rPr>
        <w:t xml:space="preserve"> as candidatas de sexo feminino são disparadamente menos votadas que os candidatos de sexo masculino. Foram computados 95.691.802 votos para os cargos de vereadores no Brasil; destes, 76.390.979 votos foram registrados para o sexo masculino. Esse número em porcentagem corresponde a 79,83% (0,7883) dos votos, enquanto as candidatas do sexo feminino receberam 19.300.600, em porcentagem, </w:t>
      </w:r>
      <w:r w:rsidR="00B053A0" w:rsidRPr="00884B8E">
        <w:rPr>
          <w:rFonts w:ascii="Arial" w:eastAsia="Arial" w:hAnsi="Arial" w:cs="Arial"/>
          <w:color w:val="000000"/>
          <w:sz w:val="24"/>
          <w:szCs w:val="24"/>
        </w:rPr>
        <w:t xml:space="preserve">que </w:t>
      </w:r>
      <w:r w:rsidRPr="00884B8E">
        <w:rPr>
          <w:rFonts w:ascii="Arial" w:eastAsia="Arial" w:hAnsi="Arial" w:cs="Arial"/>
          <w:color w:val="000000"/>
          <w:sz w:val="24"/>
          <w:szCs w:val="24"/>
        </w:rPr>
        <w:t xml:space="preserve">reflete 20,17% (0,2017) dos votos. </w:t>
      </w:r>
      <w:r w:rsidR="00B053A0" w:rsidRPr="00884B8E">
        <w:rPr>
          <w:rFonts w:ascii="Arial" w:eastAsia="Arial" w:hAnsi="Arial" w:cs="Arial"/>
          <w:color w:val="000000"/>
          <w:sz w:val="24"/>
          <w:szCs w:val="24"/>
        </w:rPr>
        <w:t xml:space="preserve">Em </w:t>
      </w:r>
      <w:r w:rsidRPr="00884B8E">
        <w:rPr>
          <w:rFonts w:ascii="Arial" w:eastAsia="Arial" w:hAnsi="Arial" w:cs="Arial"/>
          <w:color w:val="000000"/>
          <w:sz w:val="24"/>
          <w:szCs w:val="24"/>
        </w:rPr>
        <w:t>compara</w:t>
      </w:r>
      <w:r w:rsidR="00B053A0" w:rsidRPr="00884B8E">
        <w:rPr>
          <w:rFonts w:ascii="Arial" w:eastAsia="Arial" w:hAnsi="Arial" w:cs="Arial"/>
          <w:color w:val="000000"/>
          <w:sz w:val="24"/>
          <w:szCs w:val="24"/>
        </w:rPr>
        <w:t xml:space="preserve">ção às </w:t>
      </w:r>
      <w:r w:rsidRPr="00884B8E">
        <w:rPr>
          <w:rFonts w:ascii="Arial" w:eastAsia="Arial" w:hAnsi="Arial" w:cs="Arial"/>
          <w:color w:val="000000"/>
          <w:sz w:val="24"/>
          <w:szCs w:val="24"/>
        </w:rPr>
        <w:t xml:space="preserve">eleições de 2016, a discrepância é ainda maior, </w:t>
      </w:r>
      <w:r w:rsidR="00B053A0" w:rsidRPr="00884B8E">
        <w:rPr>
          <w:rFonts w:ascii="Arial" w:eastAsia="Arial" w:hAnsi="Arial" w:cs="Arial"/>
          <w:color w:val="000000"/>
          <w:sz w:val="24"/>
          <w:szCs w:val="24"/>
        </w:rPr>
        <w:t>pois</w:t>
      </w:r>
      <w:r w:rsidRPr="00884B8E">
        <w:rPr>
          <w:rFonts w:ascii="Arial" w:eastAsia="Arial" w:hAnsi="Arial" w:cs="Arial"/>
          <w:color w:val="000000"/>
          <w:sz w:val="24"/>
          <w:szCs w:val="24"/>
        </w:rPr>
        <w:t xml:space="preserve"> os candidatos do sexo masculino receberam 84,04% (0,8404) dos votos, enquanto as candidatas do sexo feminino receberam apenas 15,95% (0,1595) dos votos</w:t>
      </w:r>
      <w:r w:rsidR="00B053A0" w:rsidRPr="00884B8E">
        <w:rPr>
          <w:rFonts w:ascii="Arial" w:eastAsia="Arial" w:hAnsi="Arial" w:cs="Arial"/>
          <w:color w:val="000000"/>
          <w:sz w:val="24"/>
          <w:szCs w:val="24"/>
        </w:rPr>
        <w:t>. M</w:t>
      </w:r>
      <w:r w:rsidRPr="00884B8E">
        <w:rPr>
          <w:rFonts w:ascii="Arial" w:eastAsia="Arial" w:hAnsi="Arial" w:cs="Arial"/>
          <w:color w:val="000000"/>
          <w:sz w:val="24"/>
          <w:szCs w:val="24"/>
        </w:rPr>
        <w:t>esmo com o aumento percentual de votos para as candidatas nas eleições de 2020</w:t>
      </w:r>
      <w:r w:rsidR="00B053A0"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a disparidade ainda é agigantada (TSE, 2020).</w:t>
      </w:r>
    </w:p>
    <w:p w14:paraId="7FE4AE4B" w14:textId="7EF82D29" w:rsidR="002A2CCD" w:rsidRPr="00884B8E" w:rsidRDefault="00897666">
      <w:pPr>
        <w:widowControl w:val="0"/>
        <w:pBdr>
          <w:top w:val="nil"/>
          <w:left w:val="nil"/>
          <w:bottom w:val="nil"/>
          <w:right w:val="nil"/>
          <w:between w:val="nil"/>
        </w:pBdr>
        <w:spacing w:before="3"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Dessa forma, diante de todo </w:t>
      </w:r>
      <w:r w:rsidR="00B053A0" w:rsidRPr="00884B8E">
        <w:rPr>
          <w:rFonts w:ascii="Arial" w:eastAsia="Arial" w:hAnsi="Arial" w:cs="Arial"/>
          <w:color w:val="000000"/>
          <w:sz w:val="24"/>
          <w:szCs w:val="24"/>
        </w:rPr>
        <w:t xml:space="preserve">o </w:t>
      </w:r>
      <w:r w:rsidRPr="00884B8E">
        <w:rPr>
          <w:rFonts w:ascii="Arial" w:eastAsia="Arial" w:hAnsi="Arial" w:cs="Arial"/>
          <w:color w:val="000000"/>
          <w:sz w:val="24"/>
          <w:szCs w:val="24"/>
        </w:rPr>
        <w:t>levantamento realizado</w:t>
      </w:r>
      <w:r w:rsidR="00B053A0"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é salutar e questionável como foi o desempenho dessas mulheres candidatas nas urnas em face da quantidade de votos recebidos. Registra-se que as candidaturas femininas para o </w:t>
      </w:r>
      <w:r w:rsidRPr="00884B8E">
        <w:rPr>
          <w:rFonts w:ascii="Arial" w:eastAsia="Arial" w:hAnsi="Arial" w:cs="Arial"/>
          <w:color w:val="000000"/>
          <w:sz w:val="24"/>
          <w:szCs w:val="24"/>
        </w:rPr>
        <w:lastRenderedPageBreak/>
        <w:t xml:space="preserve">cargo de vereadores em todo o Brasil foram 180.218, sendo dessas 9.291 eleitas. </w:t>
      </w:r>
      <w:r w:rsidR="00B053A0" w:rsidRPr="00884B8E">
        <w:rPr>
          <w:rFonts w:ascii="Arial" w:eastAsia="Arial" w:hAnsi="Arial" w:cs="Arial"/>
          <w:color w:val="000000"/>
          <w:sz w:val="24"/>
          <w:szCs w:val="24"/>
        </w:rPr>
        <w:t xml:space="preserve">Esse </w:t>
      </w:r>
      <w:r w:rsidRPr="00884B8E">
        <w:rPr>
          <w:rFonts w:ascii="Arial" w:eastAsia="Arial" w:hAnsi="Arial" w:cs="Arial"/>
          <w:color w:val="000000"/>
          <w:sz w:val="24"/>
          <w:szCs w:val="24"/>
        </w:rPr>
        <w:t xml:space="preserve">dado em porcentagem fica em 5,15% (0,0515) de sucesso eleitoral nas eleições em face das candidaturas. Os candidatos masculinos, por sua vez, tiveram 338.109 candidaturas, sendo desses 48.714 eleitos, o que em porcentagem configura 14,40% (0,1440) de homens eleitos em razão de suas candidaturas (TSE, 2020). Nesse sentido, evidencia-se que os candidatos masculinos para o cargo de vereador, em âmbito nacional nas eleições de 2020, tiveram mais sucesso em números comparando </w:t>
      </w:r>
      <w:r w:rsidR="00B053A0" w:rsidRPr="00884B8E">
        <w:rPr>
          <w:rFonts w:ascii="Arial" w:eastAsia="Arial" w:hAnsi="Arial" w:cs="Arial"/>
          <w:color w:val="000000"/>
          <w:sz w:val="24"/>
          <w:szCs w:val="24"/>
        </w:rPr>
        <w:t xml:space="preserve">as </w:t>
      </w:r>
      <w:r w:rsidRPr="00884B8E">
        <w:rPr>
          <w:rFonts w:ascii="Arial" w:eastAsia="Arial" w:hAnsi="Arial" w:cs="Arial"/>
          <w:color w:val="000000"/>
          <w:sz w:val="24"/>
          <w:szCs w:val="24"/>
        </w:rPr>
        <w:t>duas vertentes, candidaturas e sucesso eleitoral.</w:t>
      </w:r>
    </w:p>
    <w:p w14:paraId="02FF5FAC" w14:textId="77777777" w:rsidR="002A2CCD" w:rsidRPr="00884B8E" w:rsidRDefault="002A2CCD">
      <w:pPr>
        <w:widowControl w:val="0"/>
        <w:pBdr>
          <w:top w:val="nil"/>
          <w:left w:val="nil"/>
          <w:bottom w:val="nil"/>
          <w:right w:val="nil"/>
          <w:between w:val="nil"/>
        </w:pBdr>
        <w:spacing w:before="3" w:after="0" w:line="360" w:lineRule="auto"/>
        <w:ind w:left="142" w:right="168" w:firstLine="719"/>
        <w:jc w:val="both"/>
        <w:rPr>
          <w:rFonts w:ascii="Arial" w:eastAsia="Arial" w:hAnsi="Arial" w:cs="Arial"/>
          <w:color w:val="000000"/>
          <w:sz w:val="24"/>
          <w:szCs w:val="24"/>
        </w:rPr>
      </w:pPr>
    </w:p>
    <w:p w14:paraId="1A05F6AB" w14:textId="0F44F861" w:rsidR="002A2CCD" w:rsidRPr="00884B8E" w:rsidRDefault="00897666">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884B8E">
        <w:rPr>
          <w:rFonts w:ascii="Arial" w:eastAsia="Arial" w:hAnsi="Arial" w:cs="Arial"/>
          <w:sz w:val="24"/>
          <w:szCs w:val="24"/>
        </w:rPr>
        <w:t>2</w:t>
      </w:r>
      <w:r w:rsidRPr="00884B8E">
        <w:rPr>
          <w:rFonts w:ascii="Arial" w:eastAsia="Arial" w:hAnsi="Arial" w:cs="Arial"/>
          <w:color w:val="000000"/>
          <w:sz w:val="24"/>
          <w:szCs w:val="24"/>
        </w:rPr>
        <w:t>.1</w:t>
      </w:r>
      <w:r w:rsidRPr="00884B8E">
        <w:rPr>
          <w:rFonts w:ascii="Arial" w:eastAsia="Arial" w:hAnsi="Arial" w:cs="Arial"/>
          <w:sz w:val="24"/>
          <w:szCs w:val="24"/>
        </w:rPr>
        <w:t xml:space="preserve">. </w:t>
      </w:r>
      <w:r w:rsidRPr="00884B8E">
        <w:rPr>
          <w:rFonts w:ascii="Arial" w:eastAsia="Arial" w:hAnsi="Arial" w:cs="Arial"/>
          <w:color w:val="000000"/>
          <w:sz w:val="24"/>
          <w:szCs w:val="24"/>
        </w:rPr>
        <w:t>CANDIDATURAS E DESEMPENHO FEMININO NO PIAUÍ: ELEIÇÕES MUNICIPAIS DE 2020</w:t>
      </w:r>
    </w:p>
    <w:p w14:paraId="63F94A39" w14:textId="77777777" w:rsidR="0062438C" w:rsidRPr="00884B8E" w:rsidRDefault="0062438C">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7B1583AB" w14:textId="4590454F" w:rsidR="002A2CCD" w:rsidRPr="00884B8E"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bookmarkStart w:id="5" w:name="_heading=h.2et92p0" w:colFirst="0" w:colLast="0"/>
      <w:bookmarkEnd w:id="5"/>
      <w:r w:rsidRPr="00884B8E">
        <w:rPr>
          <w:rFonts w:ascii="Arial" w:eastAsia="Arial" w:hAnsi="Arial" w:cs="Arial"/>
          <w:color w:val="000000"/>
          <w:sz w:val="24"/>
          <w:szCs w:val="24"/>
        </w:rPr>
        <w:t xml:space="preserve">Partindo da análise nacional, esse capítulo dedica-se a observar como recorte regional o estado do Piauí. Os principais objetivos estão ligados a uma varredura de informações sobre as candidaturas e </w:t>
      </w:r>
      <w:r w:rsidR="004D6E98" w:rsidRPr="00884B8E">
        <w:rPr>
          <w:rFonts w:ascii="Arial" w:eastAsia="Arial" w:hAnsi="Arial" w:cs="Arial"/>
          <w:color w:val="000000"/>
          <w:sz w:val="24"/>
          <w:szCs w:val="24"/>
        </w:rPr>
        <w:t xml:space="preserve">o </w:t>
      </w:r>
      <w:r w:rsidRPr="00884B8E">
        <w:rPr>
          <w:rFonts w:ascii="Arial" w:eastAsia="Arial" w:hAnsi="Arial" w:cs="Arial"/>
          <w:color w:val="000000"/>
          <w:sz w:val="24"/>
          <w:szCs w:val="24"/>
        </w:rPr>
        <w:t xml:space="preserve">desempenho eleitoral feminino nas eleições municipais de 2020. Serão utilizados como elemento comparativo também os dados das eleições de 2016. A primeira observação será feita em face do eleitorado apto a votar em sentido amplo. Nesse sentido, apresenta-se o quantitativo quanto ao comparecimento e </w:t>
      </w:r>
      <w:r w:rsidR="004D6E98" w:rsidRPr="00884B8E">
        <w:rPr>
          <w:rFonts w:ascii="Arial" w:eastAsia="Arial" w:hAnsi="Arial" w:cs="Arial"/>
          <w:color w:val="000000"/>
          <w:sz w:val="24"/>
          <w:szCs w:val="24"/>
        </w:rPr>
        <w:t xml:space="preserve">às </w:t>
      </w:r>
      <w:r w:rsidRPr="00884B8E">
        <w:rPr>
          <w:rFonts w:ascii="Arial" w:eastAsia="Arial" w:hAnsi="Arial" w:cs="Arial"/>
          <w:color w:val="000000"/>
          <w:sz w:val="24"/>
          <w:szCs w:val="24"/>
        </w:rPr>
        <w:t>abstenções no estado do Piauí</w:t>
      </w:r>
      <w:r w:rsidR="004D6E98"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observando o grau de eleitores aptos pela tabela seguinte:</w:t>
      </w:r>
    </w:p>
    <w:p w14:paraId="03691EFA" w14:textId="77777777" w:rsidR="002A2CCD" w:rsidRPr="00827700" w:rsidRDefault="002A2CCD">
      <w:pPr>
        <w:widowControl w:val="0"/>
        <w:pBdr>
          <w:top w:val="nil"/>
          <w:left w:val="nil"/>
          <w:bottom w:val="nil"/>
          <w:right w:val="nil"/>
          <w:between w:val="nil"/>
        </w:pBdr>
        <w:spacing w:before="1" w:after="0" w:line="240" w:lineRule="auto"/>
        <w:rPr>
          <w:rFonts w:ascii="Arial" w:eastAsia="Times New Roman" w:hAnsi="Arial" w:cs="Arial"/>
          <w:color w:val="000000"/>
          <w:sz w:val="36"/>
          <w:szCs w:val="36"/>
        </w:rPr>
      </w:pPr>
    </w:p>
    <w:p w14:paraId="72D60701" w14:textId="5E9D7CA3" w:rsidR="002A2CCD" w:rsidRPr="00884B8E" w:rsidRDefault="00897666">
      <w:pPr>
        <w:pStyle w:val="Ttulo1"/>
        <w:spacing w:before="0"/>
        <w:ind w:left="228" w:right="251"/>
        <w:rPr>
          <w:rFonts w:ascii="Arial" w:eastAsia="Arial" w:hAnsi="Arial" w:cs="Arial"/>
          <w:b w:val="0"/>
          <w:bCs w:val="0"/>
          <w:sz w:val="20"/>
          <w:szCs w:val="20"/>
        </w:rPr>
      </w:pPr>
      <w:bookmarkStart w:id="6" w:name="_heading=h.tyjcwt" w:colFirst="0" w:colLast="0"/>
      <w:bookmarkEnd w:id="6"/>
      <w:r w:rsidRPr="00884B8E">
        <w:rPr>
          <w:rFonts w:ascii="Arial" w:eastAsia="Arial" w:hAnsi="Arial" w:cs="Arial"/>
          <w:b w:val="0"/>
          <w:bCs w:val="0"/>
          <w:sz w:val="20"/>
          <w:szCs w:val="20"/>
        </w:rPr>
        <w:t xml:space="preserve">Tabela 5 </w:t>
      </w:r>
      <w:r w:rsidR="004D6E98"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 xml:space="preserve">Evolução do </w:t>
      </w:r>
      <w:r w:rsidR="004D6E98" w:rsidRPr="00884B8E">
        <w:rPr>
          <w:rFonts w:ascii="Arial" w:eastAsia="Arial" w:hAnsi="Arial" w:cs="Arial"/>
          <w:b w:val="0"/>
          <w:bCs w:val="0"/>
          <w:sz w:val="20"/>
          <w:szCs w:val="20"/>
        </w:rPr>
        <w:t xml:space="preserve">quantitativo </w:t>
      </w:r>
      <w:r w:rsidRPr="00884B8E">
        <w:rPr>
          <w:rFonts w:ascii="Arial" w:eastAsia="Arial" w:hAnsi="Arial" w:cs="Arial"/>
          <w:b w:val="0"/>
          <w:bCs w:val="0"/>
          <w:sz w:val="20"/>
          <w:szCs w:val="20"/>
        </w:rPr>
        <w:t xml:space="preserve">de </w:t>
      </w:r>
      <w:r w:rsidR="004D6E98" w:rsidRPr="00884B8E">
        <w:rPr>
          <w:rFonts w:ascii="Arial" w:eastAsia="Arial" w:hAnsi="Arial" w:cs="Arial"/>
          <w:b w:val="0"/>
          <w:bCs w:val="0"/>
          <w:sz w:val="20"/>
          <w:szCs w:val="20"/>
        </w:rPr>
        <w:t>comparecimento</w:t>
      </w:r>
      <w:r w:rsidRPr="00884B8E">
        <w:rPr>
          <w:rFonts w:ascii="Arial" w:eastAsia="Arial" w:hAnsi="Arial" w:cs="Arial"/>
          <w:b w:val="0"/>
          <w:bCs w:val="0"/>
          <w:sz w:val="20"/>
          <w:szCs w:val="20"/>
        </w:rPr>
        <w:t>/</w:t>
      </w:r>
      <w:r w:rsidR="004D6E98" w:rsidRPr="00884B8E">
        <w:rPr>
          <w:rFonts w:ascii="Arial" w:eastAsia="Arial" w:hAnsi="Arial" w:cs="Arial"/>
          <w:b w:val="0"/>
          <w:bCs w:val="0"/>
          <w:sz w:val="20"/>
          <w:szCs w:val="20"/>
        </w:rPr>
        <w:t xml:space="preserve">abstenção </w:t>
      </w:r>
      <w:r w:rsidRPr="00884B8E">
        <w:rPr>
          <w:rFonts w:ascii="Arial" w:eastAsia="Arial" w:hAnsi="Arial" w:cs="Arial"/>
          <w:b w:val="0"/>
          <w:bCs w:val="0"/>
          <w:sz w:val="20"/>
          <w:szCs w:val="20"/>
        </w:rPr>
        <w:t>(Piauí)</w:t>
      </w:r>
    </w:p>
    <w:tbl>
      <w:tblPr>
        <w:tblStyle w:val="ab"/>
        <w:tblW w:w="8951"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5"/>
        <w:gridCol w:w="974"/>
        <w:gridCol w:w="1669"/>
        <w:gridCol w:w="1669"/>
        <w:gridCol w:w="1089"/>
        <w:gridCol w:w="1090"/>
        <w:gridCol w:w="1165"/>
      </w:tblGrid>
      <w:tr w:rsidR="002A2CCD" w:rsidRPr="00884B8E" w14:paraId="4436E7B0" w14:textId="77777777" w:rsidTr="00B81FF7">
        <w:trPr>
          <w:trHeight w:val="506"/>
        </w:trPr>
        <w:tc>
          <w:tcPr>
            <w:tcW w:w="1295" w:type="dxa"/>
            <w:shd w:val="clear" w:color="auto" w:fill="FFFFFF" w:themeFill="background1"/>
          </w:tcPr>
          <w:p w14:paraId="44882A41"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36C9D3AF" w14:textId="77777777" w:rsidR="002A2CCD" w:rsidRPr="00884B8E" w:rsidRDefault="00897666" w:rsidP="00B81FF7">
            <w:pPr>
              <w:pBdr>
                <w:top w:val="nil"/>
                <w:left w:val="nil"/>
                <w:bottom w:val="nil"/>
                <w:right w:val="nil"/>
                <w:between w:val="nil"/>
              </w:pBdr>
              <w:ind w:right="79"/>
              <w:jc w:val="center"/>
              <w:rPr>
                <w:rFonts w:ascii="Arial" w:eastAsia="Times New Roman" w:hAnsi="Arial" w:cs="Arial"/>
                <w:color w:val="000000"/>
                <w:sz w:val="20"/>
                <w:szCs w:val="20"/>
              </w:rPr>
            </w:pPr>
            <w:r w:rsidRPr="00884B8E">
              <w:rPr>
                <w:rFonts w:ascii="Arial" w:eastAsia="Times New Roman" w:hAnsi="Arial" w:cs="Arial"/>
                <w:color w:val="000000"/>
                <w:sz w:val="20"/>
                <w:szCs w:val="20"/>
              </w:rPr>
              <w:t>Abrangência</w:t>
            </w:r>
          </w:p>
        </w:tc>
        <w:tc>
          <w:tcPr>
            <w:tcW w:w="974" w:type="dxa"/>
            <w:shd w:val="clear" w:color="auto" w:fill="FFFFFF" w:themeFill="background1"/>
          </w:tcPr>
          <w:p w14:paraId="77CAB2C4" w14:textId="77777777" w:rsidR="002A2CCD" w:rsidRPr="00884B8E" w:rsidRDefault="00897666">
            <w:pPr>
              <w:pBdr>
                <w:top w:val="nil"/>
                <w:left w:val="nil"/>
                <w:bottom w:val="nil"/>
                <w:right w:val="nil"/>
                <w:between w:val="nil"/>
              </w:pBdr>
              <w:ind w:left="143" w:right="116" w:firstLine="172"/>
              <w:rPr>
                <w:rFonts w:ascii="Arial" w:eastAsia="Times New Roman" w:hAnsi="Arial" w:cs="Arial"/>
                <w:color w:val="000000"/>
                <w:sz w:val="20"/>
                <w:szCs w:val="20"/>
              </w:rPr>
            </w:pPr>
            <w:r w:rsidRPr="00884B8E">
              <w:rPr>
                <w:rFonts w:ascii="Arial" w:eastAsia="Times New Roman" w:hAnsi="Arial" w:cs="Arial"/>
                <w:color w:val="000000"/>
                <w:sz w:val="20"/>
                <w:szCs w:val="20"/>
              </w:rPr>
              <w:t>Ano eleitoral</w:t>
            </w:r>
          </w:p>
        </w:tc>
        <w:tc>
          <w:tcPr>
            <w:tcW w:w="1669" w:type="dxa"/>
            <w:shd w:val="clear" w:color="auto" w:fill="FFFFFF" w:themeFill="background1"/>
          </w:tcPr>
          <w:p w14:paraId="3639135F"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46A8FB41" w14:textId="77777777" w:rsidR="002A2CCD" w:rsidRPr="00884B8E" w:rsidRDefault="00897666" w:rsidP="00B81FF7">
            <w:pPr>
              <w:pBdr>
                <w:top w:val="nil"/>
                <w:left w:val="nil"/>
                <w:bottom w:val="nil"/>
                <w:right w:val="nil"/>
                <w:between w:val="nil"/>
              </w:pBdr>
              <w:ind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Comparecimento</w:t>
            </w:r>
          </w:p>
        </w:tc>
        <w:tc>
          <w:tcPr>
            <w:tcW w:w="1669" w:type="dxa"/>
            <w:shd w:val="clear" w:color="auto" w:fill="FFFFFF" w:themeFill="background1"/>
          </w:tcPr>
          <w:p w14:paraId="5BBBBAFD" w14:textId="77777777" w:rsidR="002A2CCD" w:rsidRPr="00884B8E" w:rsidRDefault="00897666">
            <w:pPr>
              <w:pBdr>
                <w:top w:val="nil"/>
                <w:left w:val="nil"/>
                <w:bottom w:val="nil"/>
                <w:right w:val="nil"/>
                <w:between w:val="nil"/>
              </w:pBdr>
              <w:ind w:left="10"/>
              <w:jc w:val="center"/>
              <w:rPr>
                <w:rFonts w:ascii="Arial" w:eastAsia="Times New Roman" w:hAnsi="Arial" w:cs="Arial"/>
                <w:color w:val="000000"/>
                <w:sz w:val="20"/>
                <w:szCs w:val="20"/>
              </w:rPr>
            </w:pPr>
            <w:r w:rsidRPr="00884B8E">
              <w:rPr>
                <w:rFonts w:ascii="Arial" w:eastAsia="Times New Roman" w:hAnsi="Arial" w:cs="Arial"/>
                <w:color w:val="000000"/>
                <w:sz w:val="20"/>
                <w:szCs w:val="20"/>
              </w:rPr>
              <w:t>%</w:t>
            </w:r>
          </w:p>
          <w:p w14:paraId="4C015599" w14:textId="77777777" w:rsidR="002A2CCD" w:rsidRPr="00884B8E" w:rsidRDefault="00897666" w:rsidP="00B81FF7">
            <w:pPr>
              <w:pBdr>
                <w:top w:val="nil"/>
                <w:left w:val="nil"/>
                <w:bottom w:val="nil"/>
                <w:right w:val="nil"/>
                <w:between w:val="nil"/>
              </w:pBdr>
              <w:spacing w:before="1"/>
              <w:ind w:left="19"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Comparecimento</w:t>
            </w:r>
          </w:p>
        </w:tc>
        <w:tc>
          <w:tcPr>
            <w:tcW w:w="1089" w:type="dxa"/>
            <w:shd w:val="clear" w:color="auto" w:fill="FFFFFF" w:themeFill="background1"/>
          </w:tcPr>
          <w:p w14:paraId="6A3DB8AE"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5CE2CCD7" w14:textId="77777777" w:rsidR="002A2CCD" w:rsidRPr="00884B8E" w:rsidRDefault="00897666">
            <w:pPr>
              <w:pBdr>
                <w:top w:val="nil"/>
                <w:left w:val="nil"/>
                <w:bottom w:val="nil"/>
                <w:right w:val="nil"/>
                <w:between w:val="nil"/>
              </w:pBdr>
              <w:ind w:right="95"/>
              <w:jc w:val="right"/>
              <w:rPr>
                <w:rFonts w:ascii="Arial" w:eastAsia="Times New Roman" w:hAnsi="Arial" w:cs="Arial"/>
                <w:color w:val="000000"/>
                <w:sz w:val="20"/>
                <w:szCs w:val="20"/>
              </w:rPr>
            </w:pPr>
            <w:r w:rsidRPr="00884B8E">
              <w:rPr>
                <w:rFonts w:ascii="Arial" w:eastAsia="Times New Roman" w:hAnsi="Arial" w:cs="Arial"/>
                <w:color w:val="000000"/>
                <w:sz w:val="20"/>
                <w:szCs w:val="20"/>
              </w:rPr>
              <w:t>Abstenção</w:t>
            </w:r>
          </w:p>
        </w:tc>
        <w:tc>
          <w:tcPr>
            <w:tcW w:w="1090" w:type="dxa"/>
            <w:shd w:val="clear" w:color="auto" w:fill="FFFFFF" w:themeFill="background1"/>
          </w:tcPr>
          <w:p w14:paraId="03D947F3" w14:textId="77777777" w:rsidR="002A2CCD" w:rsidRPr="00884B8E" w:rsidRDefault="00897666">
            <w:pPr>
              <w:pBdr>
                <w:top w:val="nil"/>
                <w:left w:val="nil"/>
                <w:bottom w:val="nil"/>
                <w:right w:val="nil"/>
                <w:between w:val="nil"/>
              </w:pBdr>
              <w:ind w:left="9"/>
              <w:jc w:val="center"/>
              <w:rPr>
                <w:rFonts w:ascii="Arial" w:eastAsia="Times New Roman" w:hAnsi="Arial" w:cs="Arial"/>
                <w:color w:val="000000"/>
                <w:sz w:val="20"/>
                <w:szCs w:val="20"/>
              </w:rPr>
            </w:pPr>
            <w:r w:rsidRPr="00884B8E">
              <w:rPr>
                <w:rFonts w:ascii="Arial" w:eastAsia="Times New Roman" w:hAnsi="Arial" w:cs="Arial"/>
                <w:color w:val="000000"/>
                <w:sz w:val="20"/>
                <w:szCs w:val="20"/>
              </w:rPr>
              <w:t>%</w:t>
            </w:r>
          </w:p>
          <w:p w14:paraId="41A9E1B6" w14:textId="368E1697" w:rsidR="002A2CCD" w:rsidRPr="00884B8E" w:rsidRDefault="00B81FF7" w:rsidP="00B81FF7">
            <w:pPr>
              <w:pBdr>
                <w:top w:val="nil"/>
                <w:left w:val="nil"/>
                <w:bottom w:val="nil"/>
                <w:right w:val="nil"/>
                <w:between w:val="nil"/>
              </w:pBdr>
              <w:spacing w:before="1"/>
              <w:ind w:right="79"/>
              <w:jc w:val="center"/>
              <w:rPr>
                <w:rFonts w:ascii="Arial" w:eastAsia="Times New Roman" w:hAnsi="Arial" w:cs="Arial"/>
                <w:color w:val="000000"/>
                <w:sz w:val="20"/>
                <w:szCs w:val="20"/>
              </w:rPr>
            </w:pPr>
            <w:r w:rsidRPr="00884B8E">
              <w:rPr>
                <w:rFonts w:ascii="Arial" w:eastAsia="Times New Roman" w:hAnsi="Arial" w:cs="Arial"/>
                <w:color w:val="000000"/>
                <w:sz w:val="20"/>
                <w:szCs w:val="20"/>
              </w:rPr>
              <w:t xml:space="preserve"> </w:t>
            </w:r>
            <w:r w:rsidR="00897666" w:rsidRPr="00884B8E">
              <w:rPr>
                <w:rFonts w:ascii="Arial" w:eastAsia="Times New Roman" w:hAnsi="Arial" w:cs="Arial"/>
                <w:color w:val="000000"/>
                <w:sz w:val="20"/>
                <w:szCs w:val="20"/>
              </w:rPr>
              <w:t>Abstenção</w:t>
            </w:r>
          </w:p>
        </w:tc>
        <w:tc>
          <w:tcPr>
            <w:tcW w:w="1165" w:type="dxa"/>
            <w:shd w:val="clear" w:color="auto" w:fill="FFFFFF" w:themeFill="background1"/>
          </w:tcPr>
          <w:p w14:paraId="2D44D1F1" w14:textId="77777777" w:rsidR="002A2CCD" w:rsidRPr="00884B8E" w:rsidRDefault="00897666" w:rsidP="00B81FF7">
            <w:pPr>
              <w:pBdr>
                <w:top w:val="nil"/>
                <w:left w:val="nil"/>
                <w:bottom w:val="nil"/>
                <w:right w:val="nil"/>
                <w:between w:val="nil"/>
              </w:pBdr>
              <w:ind w:left="278" w:right="182" w:hanging="149"/>
              <w:rPr>
                <w:rFonts w:ascii="Arial" w:eastAsia="Times New Roman" w:hAnsi="Arial" w:cs="Arial"/>
                <w:color w:val="000000"/>
                <w:sz w:val="20"/>
                <w:szCs w:val="20"/>
              </w:rPr>
            </w:pPr>
            <w:r w:rsidRPr="00884B8E">
              <w:rPr>
                <w:rFonts w:ascii="Arial" w:eastAsia="Times New Roman" w:hAnsi="Arial" w:cs="Arial"/>
                <w:color w:val="000000"/>
                <w:sz w:val="20"/>
                <w:szCs w:val="20"/>
              </w:rPr>
              <w:t>Eleitores aptos</w:t>
            </w:r>
          </w:p>
        </w:tc>
      </w:tr>
      <w:tr w:rsidR="002A2CCD" w:rsidRPr="00884B8E" w14:paraId="5800466B" w14:textId="77777777" w:rsidTr="00B81FF7">
        <w:trPr>
          <w:trHeight w:val="550"/>
        </w:trPr>
        <w:tc>
          <w:tcPr>
            <w:tcW w:w="1295" w:type="dxa"/>
          </w:tcPr>
          <w:p w14:paraId="09631C50" w14:textId="77777777" w:rsidR="002A2CCD" w:rsidRPr="00884B8E" w:rsidRDefault="00897666">
            <w:pPr>
              <w:pBdr>
                <w:top w:val="nil"/>
                <w:left w:val="nil"/>
                <w:bottom w:val="nil"/>
                <w:right w:val="nil"/>
                <w:between w:val="nil"/>
              </w:pBdr>
              <w:spacing w:line="275" w:lineRule="auto"/>
              <w:ind w:left="86"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Piauí</w:t>
            </w:r>
          </w:p>
        </w:tc>
        <w:tc>
          <w:tcPr>
            <w:tcW w:w="974" w:type="dxa"/>
          </w:tcPr>
          <w:p w14:paraId="3A41E694" w14:textId="77777777" w:rsidR="002A2CCD" w:rsidRPr="00884B8E" w:rsidRDefault="00897666">
            <w:pPr>
              <w:pBdr>
                <w:top w:val="nil"/>
                <w:left w:val="nil"/>
                <w:bottom w:val="nil"/>
                <w:right w:val="nil"/>
                <w:between w:val="nil"/>
              </w:pBdr>
              <w:spacing w:line="275" w:lineRule="auto"/>
              <w:ind w:left="234" w:right="225"/>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2016</w:t>
            </w:r>
          </w:p>
        </w:tc>
        <w:tc>
          <w:tcPr>
            <w:tcW w:w="1669" w:type="dxa"/>
          </w:tcPr>
          <w:p w14:paraId="0D379A7A" w14:textId="77777777" w:rsidR="002A2CCD" w:rsidRPr="00884B8E" w:rsidRDefault="00897666">
            <w:pPr>
              <w:pBdr>
                <w:top w:val="nil"/>
                <w:left w:val="nil"/>
                <w:bottom w:val="nil"/>
                <w:right w:val="nil"/>
                <w:between w:val="nil"/>
              </w:pBdr>
              <w:spacing w:line="275" w:lineRule="auto"/>
              <w:ind w:left="88"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2.102.666</w:t>
            </w:r>
          </w:p>
        </w:tc>
        <w:tc>
          <w:tcPr>
            <w:tcW w:w="1669" w:type="dxa"/>
          </w:tcPr>
          <w:p w14:paraId="292E0493" w14:textId="77777777" w:rsidR="002A2CCD" w:rsidRPr="00884B8E" w:rsidRDefault="00897666">
            <w:pPr>
              <w:pBdr>
                <w:top w:val="nil"/>
                <w:left w:val="nil"/>
                <w:bottom w:val="nil"/>
                <w:right w:val="nil"/>
                <w:between w:val="nil"/>
              </w:pBdr>
              <w:spacing w:line="275" w:lineRule="auto"/>
              <w:ind w:left="88" w:right="76"/>
              <w:jc w:val="center"/>
              <w:rPr>
                <w:rFonts w:ascii="Arial" w:eastAsia="Times New Roman" w:hAnsi="Arial" w:cs="Arial"/>
                <w:color w:val="000000"/>
                <w:sz w:val="20"/>
                <w:szCs w:val="20"/>
              </w:rPr>
            </w:pPr>
            <w:r w:rsidRPr="00884B8E">
              <w:rPr>
                <w:rFonts w:ascii="Arial" w:eastAsia="Times New Roman" w:hAnsi="Arial" w:cs="Arial"/>
                <w:color w:val="000000"/>
                <w:sz w:val="20"/>
                <w:szCs w:val="20"/>
              </w:rPr>
              <w:t>88,25%</w:t>
            </w:r>
          </w:p>
        </w:tc>
        <w:tc>
          <w:tcPr>
            <w:tcW w:w="1089" w:type="dxa"/>
          </w:tcPr>
          <w:p w14:paraId="65725577" w14:textId="77777777" w:rsidR="002A2CCD" w:rsidRPr="00884B8E" w:rsidRDefault="00897666">
            <w:pPr>
              <w:pBdr>
                <w:top w:val="nil"/>
                <w:left w:val="nil"/>
                <w:bottom w:val="nil"/>
                <w:right w:val="nil"/>
                <w:between w:val="nil"/>
              </w:pBdr>
              <w:spacing w:line="275" w:lineRule="auto"/>
              <w:ind w:right="149"/>
              <w:jc w:val="right"/>
              <w:rPr>
                <w:rFonts w:ascii="Arial" w:eastAsia="Times New Roman" w:hAnsi="Arial" w:cs="Arial"/>
                <w:color w:val="000000"/>
                <w:sz w:val="20"/>
                <w:szCs w:val="20"/>
              </w:rPr>
            </w:pPr>
            <w:r w:rsidRPr="00884B8E">
              <w:rPr>
                <w:rFonts w:ascii="Arial" w:eastAsia="Times New Roman" w:hAnsi="Arial" w:cs="Arial"/>
                <w:color w:val="000000"/>
                <w:sz w:val="20"/>
                <w:szCs w:val="20"/>
              </w:rPr>
              <w:t>280.035</w:t>
            </w:r>
          </w:p>
        </w:tc>
        <w:tc>
          <w:tcPr>
            <w:tcW w:w="1090" w:type="dxa"/>
          </w:tcPr>
          <w:p w14:paraId="6E459CCE" w14:textId="77777777" w:rsidR="002A2CCD" w:rsidRPr="00884B8E" w:rsidRDefault="00897666">
            <w:pPr>
              <w:pBdr>
                <w:top w:val="nil"/>
                <w:left w:val="nil"/>
                <w:bottom w:val="nil"/>
                <w:right w:val="nil"/>
                <w:between w:val="nil"/>
              </w:pBdr>
              <w:spacing w:line="275" w:lineRule="auto"/>
              <w:ind w:right="170"/>
              <w:jc w:val="right"/>
              <w:rPr>
                <w:rFonts w:ascii="Arial" w:eastAsia="Times New Roman" w:hAnsi="Arial" w:cs="Arial"/>
                <w:color w:val="000000"/>
                <w:sz w:val="20"/>
                <w:szCs w:val="20"/>
              </w:rPr>
            </w:pPr>
            <w:r w:rsidRPr="00884B8E">
              <w:rPr>
                <w:rFonts w:ascii="Arial" w:eastAsia="Times New Roman" w:hAnsi="Arial" w:cs="Arial"/>
                <w:color w:val="000000"/>
                <w:sz w:val="20"/>
                <w:szCs w:val="20"/>
              </w:rPr>
              <w:t>11,75%</w:t>
            </w:r>
          </w:p>
        </w:tc>
        <w:tc>
          <w:tcPr>
            <w:tcW w:w="1165" w:type="dxa"/>
          </w:tcPr>
          <w:p w14:paraId="7F9D7E39" w14:textId="77777777" w:rsidR="002A2CCD" w:rsidRPr="00884B8E"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884B8E">
              <w:rPr>
                <w:rFonts w:ascii="Arial" w:eastAsia="Times New Roman" w:hAnsi="Arial" w:cs="Arial"/>
                <w:color w:val="000000"/>
                <w:sz w:val="20"/>
                <w:szCs w:val="20"/>
              </w:rPr>
              <w:t>2.382.701</w:t>
            </w:r>
          </w:p>
        </w:tc>
      </w:tr>
      <w:tr w:rsidR="002A2CCD" w:rsidRPr="00884B8E" w14:paraId="5AC5402F" w14:textId="77777777" w:rsidTr="00B81FF7">
        <w:trPr>
          <w:trHeight w:val="505"/>
        </w:trPr>
        <w:tc>
          <w:tcPr>
            <w:tcW w:w="1295" w:type="dxa"/>
          </w:tcPr>
          <w:p w14:paraId="1D9A5E80" w14:textId="77777777" w:rsidR="002A2CCD" w:rsidRPr="00884B8E" w:rsidRDefault="00897666">
            <w:pPr>
              <w:pBdr>
                <w:top w:val="nil"/>
                <w:left w:val="nil"/>
                <w:bottom w:val="nil"/>
                <w:right w:val="nil"/>
                <w:between w:val="nil"/>
              </w:pBdr>
              <w:spacing w:before="1"/>
              <w:ind w:left="86"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Piauí</w:t>
            </w:r>
          </w:p>
        </w:tc>
        <w:tc>
          <w:tcPr>
            <w:tcW w:w="974" w:type="dxa"/>
          </w:tcPr>
          <w:p w14:paraId="46280FFE" w14:textId="77777777" w:rsidR="002A2CCD" w:rsidRPr="00884B8E" w:rsidRDefault="00897666">
            <w:pPr>
              <w:pBdr>
                <w:top w:val="nil"/>
                <w:left w:val="nil"/>
                <w:bottom w:val="nil"/>
                <w:right w:val="nil"/>
                <w:between w:val="nil"/>
              </w:pBdr>
              <w:spacing w:before="1"/>
              <w:ind w:left="234" w:right="225"/>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2020</w:t>
            </w:r>
          </w:p>
        </w:tc>
        <w:tc>
          <w:tcPr>
            <w:tcW w:w="1669" w:type="dxa"/>
          </w:tcPr>
          <w:p w14:paraId="09FA65A8" w14:textId="77777777" w:rsidR="002A2CCD" w:rsidRPr="00884B8E" w:rsidRDefault="00897666">
            <w:pPr>
              <w:pBdr>
                <w:top w:val="nil"/>
                <w:left w:val="nil"/>
                <w:bottom w:val="nil"/>
                <w:right w:val="nil"/>
                <w:between w:val="nil"/>
              </w:pBdr>
              <w:spacing w:before="1"/>
              <w:ind w:left="88" w:right="7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2.077.426</w:t>
            </w:r>
          </w:p>
        </w:tc>
        <w:tc>
          <w:tcPr>
            <w:tcW w:w="1669" w:type="dxa"/>
          </w:tcPr>
          <w:p w14:paraId="661AA476" w14:textId="77777777" w:rsidR="002A2CCD" w:rsidRPr="00884B8E" w:rsidRDefault="00897666">
            <w:pPr>
              <w:pBdr>
                <w:top w:val="nil"/>
                <w:left w:val="nil"/>
                <w:bottom w:val="nil"/>
                <w:right w:val="nil"/>
                <w:between w:val="nil"/>
              </w:pBdr>
              <w:spacing w:before="1"/>
              <w:ind w:left="88" w:right="76"/>
              <w:jc w:val="center"/>
              <w:rPr>
                <w:rFonts w:ascii="Arial" w:eastAsia="Times New Roman" w:hAnsi="Arial" w:cs="Arial"/>
                <w:color w:val="000000"/>
                <w:sz w:val="20"/>
                <w:szCs w:val="20"/>
              </w:rPr>
            </w:pPr>
            <w:r w:rsidRPr="00884B8E">
              <w:rPr>
                <w:rFonts w:ascii="Arial" w:eastAsia="Times New Roman" w:hAnsi="Arial" w:cs="Arial"/>
                <w:color w:val="000000"/>
                <w:sz w:val="20"/>
                <w:szCs w:val="20"/>
              </w:rPr>
              <w:t>84,58%</w:t>
            </w:r>
          </w:p>
        </w:tc>
        <w:tc>
          <w:tcPr>
            <w:tcW w:w="1089" w:type="dxa"/>
          </w:tcPr>
          <w:p w14:paraId="2724392E" w14:textId="77777777" w:rsidR="002A2CCD" w:rsidRPr="00884B8E" w:rsidRDefault="00897666">
            <w:pPr>
              <w:pBdr>
                <w:top w:val="nil"/>
                <w:left w:val="nil"/>
                <w:bottom w:val="nil"/>
                <w:right w:val="nil"/>
                <w:between w:val="nil"/>
              </w:pBdr>
              <w:spacing w:before="1"/>
              <w:ind w:right="149"/>
              <w:jc w:val="right"/>
              <w:rPr>
                <w:rFonts w:ascii="Arial" w:eastAsia="Times New Roman" w:hAnsi="Arial" w:cs="Arial"/>
                <w:color w:val="000000"/>
                <w:sz w:val="20"/>
                <w:szCs w:val="20"/>
              </w:rPr>
            </w:pPr>
            <w:r w:rsidRPr="00884B8E">
              <w:rPr>
                <w:rFonts w:ascii="Arial" w:eastAsia="Times New Roman" w:hAnsi="Arial" w:cs="Arial"/>
                <w:color w:val="000000"/>
                <w:sz w:val="20"/>
                <w:szCs w:val="20"/>
              </w:rPr>
              <w:t>378.630</w:t>
            </w:r>
          </w:p>
        </w:tc>
        <w:tc>
          <w:tcPr>
            <w:tcW w:w="1090" w:type="dxa"/>
          </w:tcPr>
          <w:p w14:paraId="33B26C48" w14:textId="77777777" w:rsidR="002A2CCD" w:rsidRPr="00884B8E" w:rsidRDefault="00897666">
            <w:pPr>
              <w:pBdr>
                <w:top w:val="nil"/>
                <w:left w:val="nil"/>
                <w:bottom w:val="nil"/>
                <w:right w:val="nil"/>
                <w:between w:val="nil"/>
              </w:pBdr>
              <w:spacing w:before="1"/>
              <w:ind w:right="170"/>
              <w:jc w:val="right"/>
              <w:rPr>
                <w:rFonts w:ascii="Arial" w:eastAsia="Times New Roman" w:hAnsi="Arial" w:cs="Arial"/>
                <w:color w:val="000000"/>
                <w:sz w:val="20"/>
                <w:szCs w:val="20"/>
              </w:rPr>
            </w:pPr>
            <w:r w:rsidRPr="00884B8E">
              <w:rPr>
                <w:rFonts w:ascii="Arial" w:eastAsia="Times New Roman" w:hAnsi="Arial" w:cs="Arial"/>
                <w:color w:val="000000"/>
                <w:sz w:val="20"/>
                <w:szCs w:val="20"/>
              </w:rPr>
              <w:t>15,42%</w:t>
            </w:r>
          </w:p>
        </w:tc>
        <w:tc>
          <w:tcPr>
            <w:tcW w:w="1165" w:type="dxa"/>
          </w:tcPr>
          <w:p w14:paraId="5EF0E670" w14:textId="77777777" w:rsidR="002A2CCD" w:rsidRPr="00884B8E" w:rsidRDefault="00897666">
            <w:pPr>
              <w:pBdr>
                <w:top w:val="nil"/>
                <w:left w:val="nil"/>
                <w:bottom w:val="nil"/>
                <w:right w:val="nil"/>
                <w:between w:val="nil"/>
              </w:pBdr>
              <w:spacing w:before="1"/>
              <w:ind w:right="98"/>
              <w:jc w:val="right"/>
              <w:rPr>
                <w:rFonts w:ascii="Arial" w:eastAsia="Times New Roman" w:hAnsi="Arial" w:cs="Arial"/>
                <w:color w:val="000000"/>
                <w:sz w:val="20"/>
                <w:szCs w:val="20"/>
              </w:rPr>
            </w:pPr>
            <w:r w:rsidRPr="00884B8E">
              <w:rPr>
                <w:rFonts w:ascii="Arial" w:eastAsia="Times New Roman" w:hAnsi="Arial" w:cs="Arial"/>
                <w:color w:val="000000"/>
                <w:sz w:val="20"/>
                <w:szCs w:val="20"/>
              </w:rPr>
              <w:t>2.456.056</w:t>
            </w:r>
          </w:p>
        </w:tc>
      </w:tr>
    </w:tbl>
    <w:p w14:paraId="0ED4CB07" w14:textId="21ADAABA" w:rsidR="00B81FF7" w:rsidRPr="00884B8E" w:rsidRDefault="00B81FF7" w:rsidP="00B81FF7">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4D6E98" w:rsidRPr="00884B8E">
        <w:rPr>
          <w:rFonts w:ascii="Arial" w:eastAsia="Arial" w:hAnsi="Arial" w:cs="Arial"/>
          <w:sz w:val="20"/>
          <w:szCs w:val="20"/>
        </w:rPr>
        <w:t xml:space="preserve">. </w:t>
      </w:r>
    </w:p>
    <w:p w14:paraId="0EB0C506" w14:textId="77777777" w:rsidR="002A2CCD" w:rsidRPr="00827700" w:rsidRDefault="002A2CCD">
      <w:pPr>
        <w:widowControl w:val="0"/>
        <w:pBdr>
          <w:top w:val="nil"/>
          <w:left w:val="nil"/>
          <w:bottom w:val="nil"/>
          <w:right w:val="nil"/>
          <w:between w:val="nil"/>
        </w:pBdr>
        <w:spacing w:after="0" w:line="240" w:lineRule="auto"/>
        <w:rPr>
          <w:rFonts w:ascii="Arial" w:eastAsia="Times New Roman" w:hAnsi="Arial" w:cs="Arial"/>
          <w:color w:val="000000"/>
        </w:rPr>
      </w:pPr>
    </w:p>
    <w:p w14:paraId="2E83209E" w14:textId="566F1AA4" w:rsidR="002A2CCD" w:rsidRPr="00884B8E"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A população piauiense apresenta-se como uma população com baixo índice de abstenções, contudo, identifica-se uma redução percentual no comparecimento </w:t>
      </w:r>
      <w:r w:rsidR="00FE58A2" w:rsidRPr="00884B8E">
        <w:rPr>
          <w:rFonts w:ascii="Arial" w:eastAsia="Arial" w:hAnsi="Arial" w:cs="Arial"/>
          <w:color w:val="000000"/>
          <w:sz w:val="24"/>
          <w:szCs w:val="24"/>
        </w:rPr>
        <w:t xml:space="preserve">nas </w:t>
      </w:r>
      <w:r w:rsidRPr="00884B8E">
        <w:rPr>
          <w:rFonts w:ascii="Arial" w:eastAsia="Arial" w:hAnsi="Arial" w:cs="Arial"/>
          <w:color w:val="000000"/>
          <w:sz w:val="24"/>
          <w:szCs w:val="24"/>
        </w:rPr>
        <w:t xml:space="preserve">eleições municipais no Piauí </w:t>
      </w:r>
      <w:r w:rsidR="00FE58A2" w:rsidRPr="00884B8E">
        <w:rPr>
          <w:rFonts w:ascii="Arial" w:eastAsia="Arial" w:hAnsi="Arial" w:cs="Arial"/>
          <w:color w:val="000000"/>
          <w:sz w:val="24"/>
          <w:szCs w:val="24"/>
        </w:rPr>
        <w:t>em</w:t>
      </w:r>
      <w:r w:rsidRPr="00884B8E">
        <w:rPr>
          <w:rFonts w:ascii="Arial" w:eastAsia="Arial" w:hAnsi="Arial" w:cs="Arial"/>
          <w:color w:val="000000"/>
          <w:sz w:val="24"/>
          <w:szCs w:val="24"/>
        </w:rPr>
        <w:t xml:space="preserve"> 2020 em comparação com as eleições de 2016. Esse registro segue o panorama nacional</w:t>
      </w:r>
      <w:r w:rsidR="00FE58A2"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havendo uma redução no comparecimento em âmbito geral e, embora o número de eleitores aptos fosse maior, o nível de comparecimento aparece como menor. Dessa forma, pode se asseverar que a cada 100 votantes, cerca de 14,4 de pessoas não foram às urnas, tendo como uma das </w:t>
      </w:r>
      <w:r w:rsidRPr="00884B8E">
        <w:rPr>
          <w:rFonts w:ascii="Arial" w:eastAsia="Arial" w:hAnsi="Arial" w:cs="Arial"/>
          <w:color w:val="000000"/>
          <w:sz w:val="24"/>
          <w:szCs w:val="24"/>
        </w:rPr>
        <w:lastRenderedPageBreak/>
        <w:t>justificativas o isolamento social em razão da pandemia pelo novo coronavírus.</w:t>
      </w:r>
    </w:p>
    <w:p w14:paraId="77871208" w14:textId="30E8642A" w:rsidR="002A2CCD" w:rsidRPr="00884B8E" w:rsidRDefault="00897666">
      <w:pPr>
        <w:widowControl w:val="0"/>
        <w:pBdr>
          <w:top w:val="nil"/>
          <w:left w:val="nil"/>
          <w:bottom w:val="nil"/>
          <w:right w:val="nil"/>
          <w:between w:val="nil"/>
        </w:pBdr>
        <w:spacing w:before="1"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Nessa perspectiva, a próxima verificação será feita por meio do desmembramento de gênero, cujo objetivo é identificar qual gênero </w:t>
      </w:r>
      <w:r w:rsidR="00FE58A2" w:rsidRPr="00884B8E">
        <w:rPr>
          <w:rFonts w:ascii="Arial" w:eastAsia="Arial" w:hAnsi="Arial" w:cs="Arial"/>
          <w:color w:val="000000"/>
          <w:sz w:val="24"/>
          <w:szCs w:val="24"/>
        </w:rPr>
        <w:t>tem</w:t>
      </w:r>
      <w:r w:rsidRPr="00884B8E">
        <w:rPr>
          <w:rFonts w:ascii="Arial" w:eastAsia="Arial" w:hAnsi="Arial" w:cs="Arial"/>
          <w:color w:val="000000"/>
          <w:sz w:val="24"/>
          <w:szCs w:val="24"/>
        </w:rPr>
        <w:t xml:space="preserve"> grau maior de comparecimento. Para essa observação, serão utilizados os dados em números disponibilizados pelo Tribunal Superior Eleitoral</w:t>
      </w:r>
      <w:r w:rsidR="00FE58A2" w:rsidRPr="00884B8E">
        <w:rPr>
          <w:rFonts w:ascii="Arial" w:eastAsia="Arial" w:hAnsi="Arial" w:cs="Arial"/>
          <w:color w:val="000000"/>
          <w:sz w:val="24"/>
          <w:szCs w:val="24"/>
        </w:rPr>
        <w:t xml:space="preserve"> </w:t>
      </w:r>
      <w:r w:rsidRPr="00884B8E">
        <w:rPr>
          <w:rFonts w:ascii="Arial" w:eastAsia="Arial" w:hAnsi="Arial" w:cs="Arial"/>
          <w:color w:val="000000"/>
          <w:sz w:val="24"/>
          <w:szCs w:val="24"/>
        </w:rPr>
        <w:t>das eleições municipais para vereadores no estado do Piauí. Nas eleições de 2020</w:t>
      </w:r>
      <w:r w:rsidR="00FE58A2"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registra-se que os eleitores aptos correspondiam a 2.456.056 votantes em todo o </w:t>
      </w:r>
      <w:r w:rsidR="00FE58A2" w:rsidRPr="00884B8E">
        <w:rPr>
          <w:rFonts w:ascii="Arial" w:eastAsia="Arial" w:hAnsi="Arial" w:cs="Arial"/>
          <w:color w:val="000000"/>
          <w:sz w:val="24"/>
          <w:szCs w:val="24"/>
        </w:rPr>
        <w:t>E</w:t>
      </w:r>
      <w:r w:rsidRPr="00884B8E">
        <w:rPr>
          <w:rFonts w:ascii="Arial" w:eastAsia="Arial" w:hAnsi="Arial" w:cs="Arial"/>
          <w:color w:val="000000"/>
          <w:sz w:val="24"/>
          <w:szCs w:val="24"/>
        </w:rPr>
        <w:t>stado; desses, 1.269.841 eram do gênero feminino e correspondiam a 51,70% (0,5170) do eleitorado</w:t>
      </w:r>
      <w:r w:rsidR="00FE58A2" w:rsidRPr="00884B8E">
        <w:rPr>
          <w:rFonts w:ascii="Arial" w:eastAsia="Arial" w:hAnsi="Arial" w:cs="Arial"/>
          <w:color w:val="000000"/>
          <w:sz w:val="24"/>
          <w:szCs w:val="24"/>
        </w:rPr>
        <w:t xml:space="preserve">. Já </w:t>
      </w:r>
      <w:r w:rsidRPr="00884B8E">
        <w:rPr>
          <w:rFonts w:ascii="Arial" w:eastAsia="Arial" w:hAnsi="Arial" w:cs="Arial"/>
          <w:color w:val="000000"/>
          <w:sz w:val="24"/>
          <w:szCs w:val="24"/>
        </w:rPr>
        <w:t xml:space="preserve">do gênero masculino </w:t>
      </w:r>
      <w:r w:rsidR="00FE58A2" w:rsidRPr="00884B8E">
        <w:rPr>
          <w:rFonts w:ascii="Arial" w:eastAsia="Arial" w:hAnsi="Arial" w:cs="Arial"/>
          <w:color w:val="000000"/>
          <w:sz w:val="24"/>
          <w:szCs w:val="24"/>
        </w:rPr>
        <w:t xml:space="preserve">havia </w:t>
      </w:r>
      <w:r w:rsidRPr="00884B8E">
        <w:rPr>
          <w:rFonts w:ascii="Arial" w:eastAsia="Arial" w:hAnsi="Arial" w:cs="Arial"/>
          <w:color w:val="000000"/>
          <w:sz w:val="24"/>
          <w:szCs w:val="24"/>
        </w:rPr>
        <w:t xml:space="preserve">um quantitativo de 1.186.214 eleitores, o que retrata 48,30% (0,4830) do eleitorado, evidenciando como no cenário nacional o maior eleitorado no estado do Piauí também é composto pelo gênero feminino (TSE, 2020). Partindo dessa análise, a </w:t>
      </w:r>
      <w:r w:rsidR="00FE58A2" w:rsidRPr="00884B8E">
        <w:rPr>
          <w:rFonts w:ascii="Arial" w:eastAsia="Arial" w:hAnsi="Arial" w:cs="Arial"/>
          <w:color w:val="000000"/>
          <w:sz w:val="24"/>
          <w:szCs w:val="24"/>
        </w:rPr>
        <w:t>T</w:t>
      </w:r>
      <w:r w:rsidRPr="00884B8E">
        <w:rPr>
          <w:rFonts w:ascii="Arial" w:eastAsia="Arial" w:hAnsi="Arial" w:cs="Arial"/>
          <w:color w:val="000000"/>
          <w:sz w:val="24"/>
          <w:szCs w:val="24"/>
        </w:rPr>
        <w:t xml:space="preserve">abela </w:t>
      </w:r>
      <w:r w:rsidR="00FE58A2" w:rsidRPr="00884B8E">
        <w:rPr>
          <w:rFonts w:ascii="Arial" w:eastAsia="Arial" w:hAnsi="Arial" w:cs="Arial"/>
          <w:color w:val="000000"/>
          <w:sz w:val="24"/>
          <w:szCs w:val="24"/>
        </w:rPr>
        <w:t xml:space="preserve">6, </w:t>
      </w:r>
      <w:r w:rsidRPr="00884B8E">
        <w:rPr>
          <w:rFonts w:ascii="Arial" w:eastAsia="Arial" w:hAnsi="Arial" w:cs="Arial"/>
          <w:color w:val="000000"/>
          <w:sz w:val="24"/>
          <w:szCs w:val="24"/>
        </w:rPr>
        <w:t>a seguir</w:t>
      </w:r>
      <w:r w:rsidR="00FE58A2"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apresenta um cruzamento entre comparecimento, abstenções e eleitores aptos.</w:t>
      </w:r>
    </w:p>
    <w:p w14:paraId="1610D4B2" w14:textId="77777777" w:rsidR="00E7028D" w:rsidRPr="00884B8E" w:rsidRDefault="00E7028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454F202" w14:textId="77777777" w:rsidR="00F43226" w:rsidRPr="00884B8E" w:rsidRDefault="00F43226">
      <w:pPr>
        <w:pStyle w:val="Ttulo1"/>
        <w:spacing w:before="1"/>
        <w:ind w:left="228"/>
        <w:rPr>
          <w:rFonts w:ascii="Arial" w:eastAsia="Arial" w:hAnsi="Arial" w:cs="Arial"/>
          <w:b w:val="0"/>
          <w:bCs w:val="0"/>
          <w:sz w:val="20"/>
          <w:szCs w:val="20"/>
        </w:rPr>
      </w:pPr>
      <w:bookmarkStart w:id="7" w:name="_heading=h.3dy6vkm" w:colFirst="0" w:colLast="0"/>
      <w:bookmarkEnd w:id="7"/>
    </w:p>
    <w:p w14:paraId="069655CA" w14:textId="6128EE37" w:rsidR="002A2CCD" w:rsidRPr="00884B8E" w:rsidRDefault="00897666">
      <w:pPr>
        <w:pStyle w:val="Ttulo1"/>
        <w:spacing w:before="1"/>
        <w:ind w:left="228"/>
        <w:rPr>
          <w:rFonts w:ascii="Arial" w:eastAsia="Arial" w:hAnsi="Arial" w:cs="Arial"/>
          <w:b w:val="0"/>
          <w:bCs w:val="0"/>
          <w:sz w:val="20"/>
          <w:szCs w:val="20"/>
        </w:rPr>
      </w:pPr>
      <w:r w:rsidRPr="00884B8E">
        <w:rPr>
          <w:rFonts w:ascii="Arial" w:eastAsia="Arial" w:hAnsi="Arial" w:cs="Arial"/>
          <w:b w:val="0"/>
          <w:bCs w:val="0"/>
          <w:sz w:val="20"/>
          <w:szCs w:val="20"/>
        </w:rPr>
        <w:t xml:space="preserve">Tabela 6 </w:t>
      </w:r>
      <w:r w:rsidR="00FE58A2"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Cruzamento de dados por gênero (Piauí)</w:t>
      </w:r>
    </w:p>
    <w:tbl>
      <w:tblPr>
        <w:tblStyle w:val="ac"/>
        <w:tblW w:w="8979"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021"/>
        <w:gridCol w:w="1678"/>
        <w:gridCol w:w="1681"/>
        <w:gridCol w:w="1094"/>
        <w:gridCol w:w="1095"/>
        <w:gridCol w:w="1106"/>
      </w:tblGrid>
      <w:tr w:rsidR="002A2CCD" w:rsidRPr="00884B8E" w14:paraId="3D4613DE" w14:textId="77777777" w:rsidTr="00E7028D">
        <w:trPr>
          <w:trHeight w:val="539"/>
        </w:trPr>
        <w:tc>
          <w:tcPr>
            <w:tcW w:w="1304" w:type="dxa"/>
            <w:shd w:val="clear" w:color="auto" w:fill="FFFFFF" w:themeFill="background1"/>
          </w:tcPr>
          <w:p w14:paraId="6F0D36F6"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69026E28" w14:textId="77777777" w:rsidR="002A2CCD" w:rsidRPr="00884B8E" w:rsidRDefault="00897666">
            <w:pPr>
              <w:pBdr>
                <w:top w:val="nil"/>
                <w:left w:val="nil"/>
                <w:bottom w:val="nil"/>
                <w:right w:val="nil"/>
                <w:between w:val="nil"/>
              </w:pBdr>
              <w:ind w:left="112"/>
              <w:rPr>
                <w:rFonts w:ascii="Arial" w:eastAsia="Times New Roman" w:hAnsi="Arial" w:cs="Arial"/>
                <w:color w:val="000000"/>
                <w:sz w:val="20"/>
                <w:szCs w:val="20"/>
              </w:rPr>
            </w:pPr>
            <w:r w:rsidRPr="00884B8E">
              <w:rPr>
                <w:rFonts w:ascii="Arial" w:eastAsia="Times New Roman" w:hAnsi="Arial" w:cs="Arial"/>
                <w:color w:val="000000"/>
                <w:sz w:val="20"/>
                <w:szCs w:val="20"/>
              </w:rPr>
              <w:t>Abrangência</w:t>
            </w:r>
          </w:p>
        </w:tc>
        <w:tc>
          <w:tcPr>
            <w:tcW w:w="1021" w:type="dxa"/>
            <w:shd w:val="clear" w:color="auto" w:fill="FFFFFF" w:themeFill="background1"/>
          </w:tcPr>
          <w:p w14:paraId="1D48D8DD"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0EB45215" w14:textId="77777777" w:rsidR="002A2CCD" w:rsidRPr="00884B8E" w:rsidRDefault="00897666">
            <w:pPr>
              <w:pBdr>
                <w:top w:val="nil"/>
                <w:left w:val="nil"/>
                <w:bottom w:val="nil"/>
                <w:right w:val="nil"/>
                <w:between w:val="nil"/>
              </w:pBdr>
              <w:ind w:left="198"/>
              <w:rPr>
                <w:rFonts w:ascii="Arial" w:eastAsia="Times New Roman" w:hAnsi="Arial" w:cs="Arial"/>
                <w:color w:val="000000"/>
                <w:sz w:val="20"/>
                <w:szCs w:val="20"/>
              </w:rPr>
            </w:pPr>
            <w:r w:rsidRPr="00884B8E">
              <w:rPr>
                <w:rFonts w:ascii="Arial" w:eastAsia="Times New Roman" w:hAnsi="Arial" w:cs="Arial"/>
                <w:color w:val="000000"/>
                <w:sz w:val="20"/>
                <w:szCs w:val="20"/>
              </w:rPr>
              <w:t>Gênero</w:t>
            </w:r>
          </w:p>
        </w:tc>
        <w:tc>
          <w:tcPr>
            <w:tcW w:w="1678" w:type="dxa"/>
            <w:shd w:val="clear" w:color="auto" w:fill="FFFFFF" w:themeFill="background1"/>
          </w:tcPr>
          <w:p w14:paraId="36BDA128"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23DC57D8" w14:textId="77777777" w:rsidR="002A2CCD" w:rsidRPr="00884B8E"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Comparecimento</w:t>
            </w:r>
          </w:p>
        </w:tc>
        <w:tc>
          <w:tcPr>
            <w:tcW w:w="1681" w:type="dxa"/>
            <w:shd w:val="clear" w:color="auto" w:fill="FFFFFF" w:themeFill="background1"/>
          </w:tcPr>
          <w:p w14:paraId="5722CAEA" w14:textId="77777777" w:rsidR="002A2CCD" w:rsidRPr="00884B8E" w:rsidRDefault="00897666">
            <w:pPr>
              <w:pBdr>
                <w:top w:val="nil"/>
                <w:left w:val="nil"/>
                <w:bottom w:val="nil"/>
                <w:right w:val="nil"/>
                <w:between w:val="nil"/>
              </w:pBdr>
              <w:jc w:val="center"/>
              <w:rPr>
                <w:rFonts w:ascii="Arial" w:eastAsia="Times New Roman" w:hAnsi="Arial" w:cs="Arial"/>
                <w:color w:val="000000"/>
                <w:sz w:val="20"/>
                <w:szCs w:val="20"/>
              </w:rPr>
            </w:pPr>
            <w:r w:rsidRPr="00884B8E">
              <w:rPr>
                <w:rFonts w:ascii="Arial" w:eastAsia="Times New Roman" w:hAnsi="Arial" w:cs="Arial"/>
                <w:color w:val="000000"/>
                <w:sz w:val="20"/>
                <w:szCs w:val="20"/>
              </w:rPr>
              <w:t>%</w:t>
            </w:r>
          </w:p>
          <w:p w14:paraId="6CCF5DDA" w14:textId="34690807" w:rsidR="002A2CCD" w:rsidRPr="00884B8E" w:rsidRDefault="00B81FF7" w:rsidP="00B81FF7">
            <w:pPr>
              <w:pBdr>
                <w:top w:val="nil"/>
                <w:left w:val="nil"/>
                <w:bottom w:val="nil"/>
                <w:right w:val="nil"/>
                <w:between w:val="nil"/>
              </w:pBdr>
              <w:spacing w:before="1"/>
              <w:ind w:right="89"/>
              <w:jc w:val="center"/>
              <w:rPr>
                <w:rFonts w:ascii="Arial" w:eastAsia="Times New Roman" w:hAnsi="Arial" w:cs="Arial"/>
                <w:color w:val="000000"/>
                <w:sz w:val="20"/>
                <w:szCs w:val="20"/>
              </w:rPr>
            </w:pPr>
            <w:r w:rsidRPr="00884B8E">
              <w:rPr>
                <w:rFonts w:ascii="Arial" w:eastAsia="Times New Roman" w:hAnsi="Arial" w:cs="Arial"/>
                <w:color w:val="000000"/>
                <w:sz w:val="20"/>
                <w:szCs w:val="20"/>
              </w:rPr>
              <w:t xml:space="preserve"> </w:t>
            </w:r>
            <w:r w:rsidR="00897666" w:rsidRPr="00884B8E">
              <w:rPr>
                <w:rFonts w:ascii="Arial" w:eastAsia="Times New Roman" w:hAnsi="Arial" w:cs="Arial"/>
                <w:color w:val="000000"/>
                <w:sz w:val="20"/>
                <w:szCs w:val="20"/>
              </w:rPr>
              <w:t>Comparecimento</w:t>
            </w:r>
          </w:p>
        </w:tc>
        <w:tc>
          <w:tcPr>
            <w:tcW w:w="1094" w:type="dxa"/>
            <w:shd w:val="clear" w:color="auto" w:fill="FFFFFF" w:themeFill="background1"/>
          </w:tcPr>
          <w:p w14:paraId="6A507525"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2BAAFD82" w14:textId="77777777" w:rsidR="002A2CCD" w:rsidRPr="00884B8E" w:rsidRDefault="00897666">
            <w:pPr>
              <w:pBdr>
                <w:top w:val="nil"/>
                <w:left w:val="nil"/>
                <w:bottom w:val="nil"/>
                <w:right w:val="nil"/>
                <w:between w:val="nil"/>
              </w:pBdr>
              <w:ind w:right="108"/>
              <w:jc w:val="right"/>
              <w:rPr>
                <w:rFonts w:ascii="Arial" w:eastAsia="Times New Roman" w:hAnsi="Arial" w:cs="Arial"/>
                <w:color w:val="000000"/>
                <w:sz w:val="20"/>
                <w:szCs w:val="20"/>
              </w:rPr>
            </w:pPr>
            <w:r w:rsidRPr="00884B8E">
              <w:rPr>
                <w:rFonts w:ascii="Arial" w:eastAsia="Times New Roman" w:hAnsi="Arial" w:cs="Arial"/>
                <w:color w:val="000000"/>
                <w:sz w:val="20"/>
                <w:szCs w:val="20"/>
              </w:rPr>
              <w:t>Abstenção</w:t>
            </w:r>
          </w:p>
        </w:tc>
        <w:tc>
          <w:tcPr>
            <w:tcW w:w="1095" w:type="dxa"/>
            <w:shd w:val="clear" w:color="auto" w:fill="FFFFFF" w:themeFill="background1"/>
          </w:tcPr>
          <w:p w14:paraId="59CC41BC" w14:textId="77777777" w:rsidR="002A2CCD" w:rsidRPr="00884B8E" w:rsidRDefault="00897666">
            <w:pPr>
              <w:pBdr>
                <w:top w:val="nil"/>
                <w:left w:val="nil"/>
                <w:bottom w:val="nil"/>
                <w:right w:val="nil"/>
                <w:between w:val="nil"/>
              </w:pBdr>
              <w:ind w:left="1"/>
              <w:jc w:val="center"/>
              <w:rPr>
                <w:rFonts w:ascii="Arial" w:eastAsia="Times New Roman" w:hAnsi="Arial" w:cs="Arial"/>
                <w:color w:val="000000"/>
                <w:sz w:val="20"/>
                <w:szCs w:val="20"/>
              </w:rPr>
            </w:pPr>
            <w:r w:rsidRPr="00884B8E">
              <w:rPr>
                <w:rFonts w:ascii="Arial" w:eastAsia="Times New Roman" w:hAnsi="Arial" w:cs="Arial"/>
                <w:color w:val="000000"/>
                <w:sz w:val="20"/>
                <w:szCs w:val="20"/>
              </w:rPr>
              <w:t>%</w:t>
            </w:r>
          </w:p>
          <w:p w14:paraId="0C02BD84" w14:textId="77777777" w:rsidR="002A2CCD" w:rsidRPr="00884B8E" w:rsidRDefault="00897666" w:rsidP="00B81FF7">
            <w:pPr>
              <w:pBdr>
                <w:top w:val="nil"/>
                <w:left w:val="nil"/>
                <w:bottom w:val="nil"/>
                <w:right w:val="nil"/>
                <w:between w:val="nil"/>
              </w:pBdr>
              <w:spacing w:before="1"/>
              <w:ind w:right="87"/>
              <w:jc w:val="right"/>
              <w:rPr>
                <w:rFonts w:ascii="Arial" w:eastAsia="Times New Roman" w:hAnsi="Arial" w:cs="Arial"/>
                <w:color w:val="000000"/>
                <w:sz w:val="20"/>
                <w:szCs w:val="20"/>
              </w:rPr>
            </w:pPr>
            <w:r w:rsidRPr="00884B8E">
              <w:rPr>
                <w:rFonts w:ascii="Arial" w:eastAsia="Times New Roman" w:hAnsi="Arial" w:cs="Arial"/>
                <w:color w:val="000000"/>
                <w:sz w:val="20"/>
                <w:szCs w:val="20"/>
              </w:rPr>
              <w:t>Abstenção</w:t>
            </w:r>
          </w:p>
        </w:tc>
        <w:tc>
          <w:tcPr>
            <w:tcW w:w="1106" w:type="dxa"/>
            <w:shd w:val="clear" w:color="auto" w:fill="FFFFFF" w:themeFill="background1"/>
          </w:tcPr>
          <w:p w14:paraId="602D19DD" w14:textId="77777777" w:rsidR="002A2CCD" w:rsidRPr="00884B8E" w:rsidRDefault="00897666" w:rsidP="00B81FF7">
            <w:pPr>
              <w:pBdr>
                <w:top w:val="nil"/>
                <w:left w:val="nil"/>
                <w:bottom w:val="nil"/>
                <w:right w:val="nil"/>
                <w:between w:val="nil"/>
              </w:pBdr>
              <w:ind w:left="194" w:right="162" w:hanging="152"/>
              <w:jc w:val="center"/>
              <w:rPr>
                <w:rFonts w:ascii="Arial" w:eastAsia="Times New Roman" w:hAnsi="Arial" w:cs="Arial"/>
                <w:color w:val="000000"/>
                <w:sz w:val="20"/>
                <w:szCs w:val="20"/>
              </w:rPr>
            </w:pPr>
            <w:r w:rsidRPr="00884B8E">
              <w:rPr>
                <w:rFonts w:ascii="Arial" w:eastAsia="Times New Roman" w:hAnsi="Arial" w:cs="Arial"/>
                <w:color w:val="000000"/>
                <w:sz w:val="20"/>
                <w:szCs w:val="20"/>
              </w:rPr>
              <w:t>Eleitores aptos</w:t>
            </w:r>
          </w:p>
        </w:tc>
      </w:tr>
      <w:tr w:rsidR="002A2CCD" w:rsidRPr="00884B8E" w14:paraId="304A6375" w14:textId="77777777" w:rsidTr="00E7028D">
        <w:trPr>
          <w:trHeight w:val="438"/>
        </w:trPr>
        <w:tc>
          <w:tcPr>
            <w:tcW w:w="1304" w:type="dxa"/>
          </w:tcPr>
          <w:p w14:paraId="44750AA8" w14:textId="77777777" w:rsidR="002A2CCD" w:rsidRPr="00884B8E" w:rsidRDefault="00897666">
            <w:pPr>
              <w:pBdr>
                <w:top w:val="nil"/>
                <w:left w:val="nil"/>
                <w:bottom w:val="nil"/>
                <w:right w:val="nil"/>
                <w:between w:val="nil"/>
              </w:pBdr>
              <w:spacing w:before="162" w:line="257"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Piauí</w:t>
            </w:r>
          </w:p>
        </w:tc>
        <w:tc>
          <w:tcPr>
            <w:tcW w:w="1021" w:type="dxa"/>
          </w:tcPr>
          <w:p w14:paraId="5926B528" w14:textId="77777777" w:rsidR="002A2CCD" w:rsidRPr="00884B8E" w:rsidRDefault="002A2CCD" w:rsidP="00B81FF7">
            <w:pPr>
              <w:pBdr>
                <w:top w:val="nil"/>
                <w:left w:val="nil"/>
                <w:bottom w:val="nil"/>
                <w:right w:val="nil"/>
                <w:between w:val="nil"/>
              </w:pBdr>
              <w:spacing w:before="10"/>
              <w:jc w:val="center"/>
              <w:rPr>
                <w:rFonts w:ascii="Arial" w:eastAsia="Times New Roman" w:hAnsi="Arial" w:cs="Arial"/>
                <w:color w:val="000000"/>
                <w:sz w:val="20"/>
                <w:szCs w:val="20"/>
              </w:rPr>
            </w:pPr>
          </w:p>
          <w:p w14:paraId="3D00AF7A" w14:textId="77777777" w:rsidR="002A2CCD" w:rsidRPr="00884B8E" w:rsidRDefault="00897666" w:rsidP="00B81FF7">
            <w:pPr>
              <w:pBdr>
                <w:top w:val="nil"/>
                <w:left w:val="nil"/>
                <w:bottom w:val="nil"/>
                <w:right w:val="nil"/>
                <w:between w:val="nil"/>
              </w:pBdr>
              <w:spacing w:before="1"/>
              <w:jc w:val="center"/>
              <w:rPr>
                <w:rFonts w:ascii="Arial" w:eastAsia="Times New Roman" w:hAnsi="Arial" w:cs="Arial"/>
                <w:color w:val="000000"/>
                <w:sz w:val="20"/>
                <w:szCs w:val="20"/>
              </w:rPr>
            </w:pPr>
            <w:r w:rsidRPr="00884B8E">
              <w:rPr>
                <w:rFonts w:ascii="Arial" w:eastAsia="Times New Roman" w:hAnsi="Arial" w:cs="Arial"/>
                <w:color w:val="000000"/>
                <w:sz w:val="20"/>
                <w:szCs w:val="20"/>
              </w:rPr>
              <w:t>Não informado</w:t>
            </w:r>
          </w:p>
        </w:tc>
        <w:tc>
          <w:tcPr>
            <w:tcW w:w="1678" w:type="dxa"/>
          </w:tcPr>
          <w:p w14:paraId="5E589D08"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088D2137" w14:textId="77777777" w:rsidR="002A2CCD" w:rsidRPr="00884B8E" w:rsidRDefault="00897666">
            <w:pPr>
              <w:pBdr>
                <w:top w:val="nil"/>
                <w:left w:val="nil"/>
                <w:bottom w:val="nil"/>
                <w:right w:val="nil"/>
                <w:between w:val="nil"/>
              </w:pBdr>
              <w:ind w:right="99"/>
              <w:jc w:val="right"/>
              <w:rPr>
                <w:rFonts w:ascii="Arial" w:eastAsia="Times New Roman" w:hAnsi="Arial" w:cs="Arial"/>
                <w:color w:val="000000"/>
                <w:sz w:val="20"/>
                <w:szCs w:val="20"/>
              </w:rPr>
            </w:pPr>
            <w:r w:rsidRPr="00884B8E">
              <w:rPr>
                <w:rFonts w:ascii="Arial" w:eastAsia="Times New Roman" w:hAnsi="Arial" w:cs="Arial"/>
                <w:color w:val="000000"/>
                <w:sz w:val="20"/>
                <w:szCs w:val="20"/>
              </w:rPr>
              <w:t>1</w:t>
            </w:r>
          </w:p>
        </w:tc>
        <w:tc>
          <w:tcPr>
            <w:tcW w:w="1681" w:type="dxa"/>
          </w:tcPr>
          <w:p w14:paraId="293FDE46" w14:textId="77777777" w:rsidR="002A2CCD" w:rsidRPr="00884B8E" w:rsidRDefault="002A2CCD" w:rsidP="00B81FF7">
            <w:pPr>
              <w:pBdr>
                <w:top w:val="nil"/>
                <w:left w:val="nil"/>
                <w:bottom w:val="nil"/>
                <w:right w:val="nil"/>
                <w:between w:val="nil"/>
              </w:pBdr>
              <w:spacing w:before="1"/>
              <w:jc w:val="center"/>
              <w:rPr>
                <w:rFonts w:ascii="Arial" w:eastAsia="Times New Roman" w:hAnsi="Arial" w:cs="Arial"/>
                <w:color w:val="000000"/>
                <w:sz w:val="20"/>
                <w:szCs w:val="20"/>
              </w:rPr>
            </w:pPr>
          </w:p>
          <w:p w14:paraId="123EEC1D" w14:textId="77777777" w:rsidR="002A2CCD" w:rsidRPr="00884B8E" w:rsidRDefault="00897666" w:rsidP="00B81FF7">
            <w:pPr>
              <w:pBdr>
                <w:top w:val="nil"/>
                <w:left w:val="nil"/>
                <w:bottom w:val="nil"/>
                <w:right w:val="nil"/>
                <w:between w:val="nil"/>
              </w:pBdr>
              <w:ind w:right="101"/>
              <w:jc w:val="center"/>
              <w:rPr>
                <w:rFonts w:ascii="Arial" w:eastAsia="Times New Roman" w:hAnsi="Arial" w:cs="Arial"/>
                <w:color w:val="000000"/>
                <w:sz w:val="20"/>
                <w:szCs w:val="20"/>
              </w:rPr>
            </w:pPr>
            <w:r w:rsidRPr="00884B8E">
              <w:rPr>
                <w:rFonts w:ascii="Arial" w:eastAsia="Times New Roman" w:hAnsi="Arial" w:cs="Arial"/>
                <w:color w:val="000000"/>
                <w:sz w:val="20"/>
                <w:szCs w:val="20"/>
              </w:rPr>
              <w:t>100,00%</w:t>
            </w:r>
          </w:p>
        </w:tc>
        <w:tc>
          <w:tcPr>
            <w:tcW w:w="1094" w:type="dxa"/>
          </w:tcPr>
          <w:p w14:paraId="12F4CF5B"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54C3A016" w14:textId="77777777" w:rsidR="002A2CCD" w:rsidRPr="00884B8E"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0</w:t>
            </w:r>
          </w:p>
        </w:tc>
        <w:tc>
          <w:tcPr>
            <w:tcW w:w="1095" w:type="dxa"/>
          </w:tcPr>
          <w:p w14:paraId="6FE15783"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32E72F88" w14:textId="77777777" w:rsidR="002A2CCD" w:rsidRPr="00884B8E" w:rsidRDefault="00897666">
            <w:pPr>
              <w:pBdr>
                <w:top w:val="nil"/>
                <w:left w:val="nil"/>
                <w:bottom w:val="nil"/>
                <w:right w:val="nil"/>
                <w:between w:val="nil"/>
              </w:pBdr>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0,00%</w:t>
            </w:r>
          </w:p>
        </w:tc>
        <w:tc>
          <w:tcPr>
            <w:tcW w:w="1106" w:type="dxa"/>
          </w:tcPr>
          <w:p w14:paraId="6A174075"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1910B05B" w14:textId="77777777" w:rsidR="002A2CCD" w:rsidRPr="00884B8E"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1</w:t>
            </w:r>
          </w:p>
        </w:tc>
      </w:tr>
      <w:tr w:rsidR="002A2CCD" w:rsidRPr="00884B8E" w14:paraId="5E956E27" w14:textId="77777777" w:rsidTr="00E7028D">
        <w:trPr>
          <w:trHeight w:val="599"/>
        </w:trPr>
        <w:tc>
          <w:tcPr>
            <w:tcW w:w="1304" w:type="dxa"/>
          </w:tcPr>
          <w:p w14:paraId="30D65586"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021" w:type="dxa"/>
          </w:tcPr>
          <w:p w14:paraId="299BBD3D" w14:textId="77777777" w:rsidR="002A2CCD" w:rsidRPr="00884B8E" w:rsidRDefault="002A2CCD" w:rsidP="00B81FF7">
            <w:pPr>
              <w:pBdr>
                <w:top w:val="nil"/>
                <w:left w:val="nil"/>
                <w:bottom w:val="nil"/>
                <w:right w:val="nil"/>
                <w:between w:val="nil"/>
              </w:pBdr>
              <w:ind w:left="-46"/>
              <w:jc w:val="center"/>
              <w:rPr>
                <w:rFonts w:ascii="Arial" w:eastAsia="Times New Roman" w:hAnsi="Arial" w:cs="Arial"/>
                <w:color w:val="000000"/>
                <w:sz w:val="20"/>
                <w:szCs w:val="20"/>
              </w:rPr>
            </w:pPr>
          </w:p>
          <w:p w14:paraId="56B7928B" w14:textId="77777777" w:rsidR="002A2CCD" w:rsidRPr="00884B8E" w:rsidRDefault="00897666" w:rsidP="00B81FF7">
            <w:pPr>
              <w:pBdr>
                <w:top w:val="nil"/>
                <w:left w:val="nil"/>
                <w:bottom w:val="nil"/>
                <w:right w:val="nil"/>
                <w:between w:val="nil"/>
              </w:pBdr>
              <w:ind w:left="-46"/>
              <w:jc w:val="center"/>
              <w:rPr>
                <w:rFonts w:ascii="Arial" w:eastAsia="Times New Roman" w:hAnsi="Arial" w:cs="Arial"/>
                <w:color w:val="000000"/>
                <w:sz w:val="20"/>
                <w:szCs w:val="20"/>
              </w:rPr>
            </w:pPr>
            <w:r w:rsidRPr="00884B8E">
              <w:rPr>
                <w:rFonts w:ascii="Arial" w:eastAsia="Times New Roman" w:hAnsi="Arial" w:cs="Arial"/>
                <w:color w:val="000000"/>
                <w:sz w:val="20"/>
                <w:szCs w:val="20"/>
              </w:rPr>
              <w:t>Masculino</w:t>
            </w:r>
          </w:p>
        </w:tc>
        <w:tc>
          <w:tcPr>
            <w:tcW w:w="1678" w:type="dxa"/>
          </w:tcPr>
          <w:p w14:paraId="5B7DBFFA" w14:textId="4EBB376F" w:rsidR="002A2CCD" w:rsidRPr="00884B8E"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023ABFBA" w14:textId="435FD6AB" w:rsidR="002A2CCD" w:rsidRPr="00884B8E" w:rsidRDefault="00897666" w:rsidP="00E7028D">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992.488</w:t>
            </w:r>
          </w:p>
        </w:tc>
        <w:tc>
          <w:tcPr>
            <w:tcW w:w="1681" w:type="dxa"/>
          </w:tcPr>
          <w:p w14:paraId="22D9F73F" w14:textId="77777777" w:rsidR="002A2CCD" w:rsidRPr="00884B8E" w:rsidRDefault="002A2CCD" w:rsidP="00E7028D">
            <w:pPr>
              <w:pBdr>
                <w:top w:val="nil"/>
                <w:left w:val="nil"/>
                <w:bottom w:val="nil"/>
                <w:right w:val="nil"/>
                <w:between w:val="nil"/>
              </w:pBdr>
              <w:spacing w:before="10"/>
              <w:jc w:val="center"/>
              <w:rPr>
                <w:rFonts w:ascii="Arial" w:eastAsia="Times New Roman" w:hAnsi="Arial" w:cs="Arial"/>
                <w:color w:val="000000"/>
                <w:sz w:val="20"/>
                <w:szCs w:val="20"/>
              </w:rPr>
            </w:pPr>
          </w:p>
          <w:p w14:paraId="1EEEF9F7" w14:textId="77777777" w:rsidR="002A2CCD" w:rsidRPr="00884B8E" w:rsidRDefault="00897666" w:rsidP="00E7028D">
            <w:pPr>
              <w:pBdr>
                <w:top w:val="nil"/>
                <w:left w:val="nil"/>
                <w:bottom w:val="nil"/>
                <w:right w:val="nil"/>
                <w:between w:val="nil"/>
              </w:pBdr>
              <w:ind w:right="100"/>
              <w:jc w:val="center"/>
              <w:rPr>
                <w:rFonts w:ascii="Arial" w:eastAsia="Times New Roman" w:hAnsi="Arial" w:cs="Arial"/>
                <w:color w:val="000000"/>
                <w:sz w:val="20"/>
                <w:szCs w:val="20"/>
              </w:rPr>
            </w:pPr>
            <w:r w:rsidRPr="00884B8E">
              <w:rPr>
                <w:rFonts w:ascii="Arial" w:eastAsia="Times New Roman" w:hAnsi="Arial" w:cs="Arial"/>
                <w:color w:val="000000"/>
                <w:sz w:val="20"/>
                <w:szCs w:val="20"/>
              </w:rPr>
              <w:t>83,67%</w:t>
            </w:r>
          </w:p>
        </w:tc>
        <w:tc>
          <w:tcPr>
            <w:tcW w:w="1094" w:type="dxa"/>
          </w:tcPr>
          <w:p w14:paraId="50F84D8C" w14:textId="77777777" w:rsidR="002A2CCD" w:rsidRPr="00884B8E"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60C3E560" w14:textId="77777777" w:rsidR="002A2CCD" w:rsidRPr="00884B8E" w:rsidRDefault="00897666" w:rsidP="00E7028D">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193.726</w:t>
            </w:r>
          </w:p>
        </w:tc>
        <w:tc>
          <w:tcPr>
            <w:tcW w:w="1095" w:type="dxa"/>
          </w:tcPr>
          <w:p w14:paraId="564374D5" w14:textId="77777777" w:rsidR="002A2CCD" w:rsidRPr="00884B8E"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74E5EADD" w14:textId="77777777" w:rsidR="002A2CCD" w:rsidRPr="00884B8E" w:rsidRDefault="00897666" w:rsidP="00E7028D">
            <w:pPr>
              <w:pBdr>
                <w:top w:val="nil"/>
                <w:left w:val="nil"/>
                <w:bottom w:val="nil"/>
                <w:right w:val="nil"/>
                <w:between w:val="nil"/>
              </w:pBdr>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16,33%</w:t>
            </w:r>
          </w:p>
        </w:tc>
        <w:tc>
          <w:tcPr>
            <w:tcW w:w="1106" w:type="dxa"/>
          </w:tcPr>
          <w:p w14:paraId="3370182C" w14:textId="77777777" w:rsidR="002A2CCD" w:rsidRPr="00884B8E"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6E5C1B6F" w14:textId="77777777" w:rsidR="002A2CCD" w:rsidRPr="00884B8E" w:rsidRDefault="00897666" w:rsidP="00E7028D">
            <w:pPr>
              <w:pBdr>
                <w:top w:val="nil"/>
                <w:left w:val="nil"/>
                <w:bottom w:val="nil"/>
                <w:right w:val="nil"/>
                <w:between w:val="nil"/>
              </w:pBdr>
              <w:ind w:right="101"/>
              <w:jc w:val="right"/>
              <w:rPr>
                <w:rFonts w:ascii="Arial" w:eastAsia="Times New Roman" w:hAnsi="Arial" w:cs="Arial"/>
                <w:color w:val="000000"/>
                <w:sz w:val="20"/>
                <w:szCs w:val="20"/>
              </w:rPr>
            </w:pPr>
            <w:r w:rsidRPr="00884B8E">
              <w:rPr>
                <w:rFonts w:ascii="Arial" w:eastAsia="Times New Roman" w:hAnsi="Arial" w:cs="Arial"/>
                <w:color w:val="000000"/>
                <w:sz w:val="20"/>
                <w:szCs w:val="20"/>
              </w:rPr>
              <w:t>1.186.214</w:t>
            </w:r>
          </w:p>
        </w:tc>
      </w:tr>
      <w:tr w:rsidR="002A2CCD" w:rsidRPr="00884B8E" w14:paraId="5C4D3976" w14:textId="77777777" w:rsidTr="00B81FF7">
        <w:trPr>
          <w:trHeight w:val="438"/>
        </w:trPr>
        <w:tc>
          <w:tcPr>
            <w:tcW w:w="1304" w:type="dxa"/>
          </w:tcPr>
          <w:p w14:paraId="25AFBFB0"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021" w:type="dxa"/>
          </w:tcPr>
          <w:p w14:paraId="62597D88" w14:textId="77777777" w:rsidR="002A2CCD" w:rsidRPr="00884B8E" w:rsidRDefault="002A2CCD" w:rsidP="00B81FF7">
            <w:pPr>
              <w:pBdr>
                <w:top w:val="nil"/>
                <w:left w:val="nil"/>
                <w:bottom w:val="nil"/>
                <w:right w:val="nil"/>
                <w:between w:val="nil"/>
              </w:pBdr>
              <w:spacing w:before="2"/>
              <w:ind w:left="-46"/>
              <w:jc w:val="center"/>
              <w:rPr>
                <w:rFonts w:ascii="Arial" w:eastAsia="Times New Roman" w:hAnsi="Arial" w:cs="Arial"/>
                <w:color w:val="000000"/>
                <w:sz w:val="20"/>
                <w:szCs w:val="20"/>
              </w:rPr>
            </w:pPr>
          </w:p>
          <w:p w14:paraId="1E31A5E5" w14:textId="77777777" w:rsidR="002A2CCD" w:rsidRPr="00884B8E" w:rsidRDefault="00897666" w:rsidP="00B81FF7">
            <w:pPr>
              <w:pBdr>
                <w:top w:val="nil"/>
                <w:left w:val="nil"/>
                <w:bottom w:val="nil"/>
                <w:right w:val="nil"/>
                <w:between w:val="nil"/>
              </w:pBdr>
              <w:ind w:left="-46"/>
              <w:jc w:val="center"/>
              <w:rPr>
                <w:rFonts w:ascii="Arial" w:eastAsia="Times New Roman" w:hAnsi="Arial" w:cs="Arial"/>
                <w:color w:val="000000"/>
                <w:sz w:val="20"/>
                <w:szCs w:val="20"/>
              </w:rPr>
            </w:pPr>
            <w:r w:rsidRPr="00884B8E">
              <w:rPr>
                <w:rFonts w:ascii="Arial" w:eastAsia="Times New Roman" w:hAnsi="Arial" w:cs="Arial"/>
                <w:color w:val="000000"/>
                <w:sz w:val="20"/>
                <w:szCs w:val="20"/>
              </w:rPr>
              <w:t>Feminino</w:t>
            </w:r>
          </w:p>
        </w:tc>
        <w:tc>
          <w:tcPr>
            <w:tcW w:w="1678" w:type="dxa"/>
          </w:tcPr>
          <w:p w14:paraId="71B613B6"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711F1EEE" w14:textId="77777777" w:rsidR="002A2CCD" w:rsidRPr="00884B8E" w:rsidRDefault="00897666">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1.084.937</w:t>
            </w:r>
          </w:p>
        </w:tc>
        <w:tc>
          <w:tcPr>
            <w:tcW w:w="1681" w:type="dxa"/>
          </w:tcPr>
          <w:p w14:paraId="51F28D5E" w14:textId="77777777" w:rsidR="002A2CCD" w:rsidRPr="00884B8E" w:rsidRDefault="002A2CCD" w:rsidP="00B81FF7">
            <w:pPr>
              <w:pBdr>
                <w:top w:val="nil"/>
                <w:left w:val="nil"/>
                <w:bottom w:val="nil"/>
                <w:right w:val="nil"/>
                <w:between w:val="nil"/>
              </w:pBdr>
              <w:spacing w:before="1"/>
              <w:jc w:val="center"/>
              <w:rPr>
                <w:rFonts w:ascii="Arial" w:eastAsia="Times New Roman" w:hAnsi="Arial" w:cs="Arial"/>
                <w:color w:val="000000"/>
                <w:sz w:val="20"/>
                <w:szCs w:val="20"/>
              </w:rPr>
            </w:pPr>
          </w:p>
          <w:p w14:paraId="61262131" w14:textId="77777777" w:rsidR="002A2CCD" w:rsidRPr="00884B8E" w:rsidRDefault="00897666" w:rsidP="00B81FF7">
            <w:pPr>
              <w:pBdr>
                <w:top w:val="nil"/>
                <w:left w:val="nil"/>
                <w:bottom w:val="nil"/>
                <w:right w:val="nil"/>
                <w:between w:val="nil"/>
              </w:pBdr>
              <w:ind w:right="100"/>
              <w:jc w:val="center"/>
              <w:rPr>
                <w:rFonts w:ascii="Arial" w:eastAsia="Times New Roman" w:hAnsi="Arial" w:cs="Arial"/>
                <w:color w:val="000000"/>
                <w:sz w:val="20"/>
                <w:szCs w:val="20"/>
              </w:rPr>
            </w:pPr>
            <w:r w:rsidRPr="00884B8E">
              <w:rPr>
                <w:rFonts w:ascii="Arial" w:eastAsia="Times New Roman" w:hAnsi="Arial" w:cs="Arial"/>
                <w:color w:val="000000"/>
                <w:sz w:val="20"/>
                <w:szCs w:val="20"/>
              </w:rPr>
              <w:t>85,44%</w:t>
            </w:r>
          </w:p>
        </w:tc>
        <w:tc>
          <w:tcPr>
            <w:tcW w:w="1094" w:type="dxa"/>
          </w:tcPr>
          <w:p w14:paraId="0ED45109"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02357FE5" w14:textId="77777777" w:rsidR="002A2CCD" w:rsidRPr="00884B8E"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184.904</w:t>
            </w:r>
          </w:p>
        </w:tc>
        <w:tc>
          <w:tcPr>
            <w:tcW w:w="1095" w:type="dxa"/>
          </w:tcPr>
          <w:p w14:paraId="59781B74"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6FC211DF" w14:textId="77777777" w:rsidR="002A2CCD" w:rsidRPr="00884B8E" w:rsidRDefault="00897666">
            <w:pPr>
              <w:pBdr>
                <w:top w:val="nil"/>
                <w:left w:val="nil"/>
                <w:bottom w:val="nil"/>
                <w:right w:val="nil"/>
                <w:between w:val="nil"/>
              </w:pBdr>
              <w:ind w:right="100"/>
              <w:jc w:val="right"/>
              <w:rPr>
                <w:rFonts w:ascii="Arial" w:eastAsia="Times New Roman" w:hAnsi="Arial" w:cs="Arial"/>
                <w:color w:val="000000"/>
                <w:sz w:val="20"/>
                <w:szCs w:val="20"/>
              </w:rPr>
            </w:pPr>
            <w:r w:rsidRPr="00884B8E">
              <w:rPr>
                <w:rFonts w:ascii="Arial" w:eastAsia="Times New Roman" w:hAnsi="Arial" w:cs="Arial"/>
                <w:color w:val="000000"/>
                <w:sz w:val="20"/>
                <w:szCs w:val="20"/>
              </w:rPr>
              <w:t>14,56%</w:t>
            </w:r>
          </w:p>
        </w:tc>
        <w:tc>
          <w:tcPr>
            <w:tcW w:w="1106" w:type="dxa"/>
          </w:tcPr>
          <w:p w14:paraId="03349BF7"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14500144" w14:textId="77777777" w:rsidR="002A2CCD" w:rsidRPr="00884B8E"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884B8E">
              <w:rPr>
                <w:rFonts w:ascii="Arial" w:eastAsia="Times New Roman" w:hAnsi="Arial" w:cs="Arial"/>
                <w:color w:val="000000"/>
                <w:sz w:val="20"/>
                <w:szCs w:val="20"/>
              </w:rPr>
              <w:t>1.269.841</w:t>
            </w:r>
          </w:p>
        </w:tc>
      </w:tr>
      <w:tr w:rsidR="002A2CCD" w:rsidRPr="00884B8E" w14:paraId="09D30E36" w14:textId="77777777" w:rsidTr="00B81FF7">
        <w:trPr>
          <w:trHeight w:val="436"/>
        </w:trPr>
        <w:tc>
          <w:tcPr>
            <w:tcW w:w="1304" w:type="dxa"/>
          </w:tcPr>
          <w:p w14:paraId="19A257B6" w14:textId="77777777" w:rsidR="002A2CCD" w:rsidRPr="00884B8E" w:rsidRDefault="00897666">
            <w:pPr>
              <w:pBdr>
                <w:top w:val="nil"/>
                <w:left w:val="nil"/>
                <w:bottom w:val="nil"/>
                <w:right w:val="nil"/>
                <w:between w:val="nil"/>
              </w:pBdr>
              <w:spacing w:before="183" w:line="233"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UF</w:t>
            </w:r>
          </w:p>
        </w:tc>
        <w:tc>
          <w:tcPr>
            <w:tcW w:w="1021" w:type="dxa"/>
          </w:tcPr>
          <w:p w14:paraId="040B8D8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78" w:type="dxa"/>
          </w:tcPr>
          <w:p w14:paraId="4A42290C" w14:textId="77777777" w:rsidR="002A2CCD" w:rsidRPr="00884B8E" w:rsidRDefault="002A2CCD">
            <w:pPr>
              <w:pBdr>
                <w:top w:val="nil"/>
                <w:left w:val="nil"/>
                <w:bottom w:val="nil"/>
                <w:right w:val="nil"/>
                <w:between w:val="nil"/>
              </w:pBdr>
              <w:spacing w:before="10"/>
              <w:rPr>
                <w:rFonts w:ascii="Arial" w:eastAsia="Times New Roman" w:hAnsi="Arial" w:cs="Arial"/>
                <w:color w:val="000000"/>
                <w:sz w:val="20"/>
                <w:szCs w:val="20"/>
              </w:rPr>
            </w:pPr>
          </w:p>
          <w:p w14:paraId="672D8E7E" w14:textId="77777777" w:rsidR="002A2CCD" w:rsidRPr="00884B8E" w:rsidRDefault="00897666">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2.077.426</w:t>
            </w:r>
          </w:p>
        </w:tc>
        <w:tc>
          <w:tcPr>
            <w:tcW w:w="1681" w:type="dxa"/>
          </w:tcPr>
          <w:p w14:paraId="59C06F82"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094" w:type="dxa"/>
          </w:tcPr>
          <w:p w14:paraId="4682B21B" w14:textId="77777777" w:rsidR="002A2CCD" w:rsidRPr="00884B8E" w:rsidRDefault="002A2CCD">
            <w:pPr>
              <w:pBdr>
                <w:top w:val="nil"/>
                <w:left w:val="nil"/>
                <w:bottom w:val="nil"/>
                <w:right w:val="nil"/>
                <w:between w:val="nil"/>
              </w:pBdr>
              <w:spacing w:before="10"/>
              <w:rPr>
                <w:rFonts w:ascii="Arial" w:eastAsia="Times New Roman" w:hAnsi="Arial" w:cs="Arial"/>
                <w:color w:val="000000"/>
                <w:sz w:val="20"/>
                <w:szCs w:val="20"/>
              </w:rPr>
            </w:pPr>
          </w:p>
          <w:p w14:paraId="1EF79485" w14:textId="77777777" w:rsidR="002A2CCD" w:rsidRPr="00884B8E"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378.630</w:t>
            </w:r>
          </w:p>
        </w:tc>
        <w:tc>
          <w:tcPr>
            <w:tcW w:w="1095" w:type="dxa"/>
          </w:tcPr>
          <w:p w14:paraId="1B097C9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106" w:type="dxa"/>
          </w:tcPr>
          <w:p w14:paraId="55FCC71A" w14:textId="77777777" w:rsidR="002A2CCD" w:rsidRPr="00884B8E" w:rsidRDefault="002A2CCD">
            <w:pPr>
              <w:pBdr>
                <w:top w:val="nil"/>
                <w:left w:val="nil"/>
                <w:bottom w:val="nil"/>
                <w:right w:val="nil"/>
                <w:between w:val="nil"/>
              </w:pBdr>
              <w:spacing w:before="10"/>
              <w:rPr>
                <w:rFonts w:ascii="Arial" w:eastAsia="Times New Roman" w:hAnsi="Arial" w:cs="Arial"/>
                <w:color w:val="000000"/>
                <w:sz w:val="20"/>
                <w:szCs w:val="20"/>
              </w:rPr>
            </w:pPr>
          </w:p>
          <w:p w14:paraId="5D6F1705" w14:textId="77777777" w:rsidR="002A2CCD" w:rsidRPr="00884B8E"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884B8E">
              <w:rPr>
                <w:rFonts w:ascii="Arial" w:eastAsia="Times New Roman" w:hAnsi="Arial" w:cs="Arial"/>
                <w:color w:val="000000"/>
                <w:sz w:val="20"/>
                <w:szCs w:val="20"/>
              </w:rPr>
              <w:t>2.456.056</w:t>
            </w:r>
          </w:p>
        </w:tc>
      </w:tr>
      <w:tr w:rsidR="002A2CCD" w:rsidRPr="00884B8E" w14:paraId="414DA554" w14:textId="77777777" w:rsidTr="00B81FF7">
        <w:trPr>
          <w:trHeight w:val="436"/>
        </w:trPr>
        <w:tc>
          <w:tcPr>
            <w:tcW w:w="1304" w:type="dxa"/>
          </w:tcPr>
          <w:p w14:paraId="00D4D69B" w14:textId="77777777" w:rsidR="002A2CCD" w:rsidRPr="00884B8E" w:rsidRDefault="00897666">
            <w:pPr>
              <w:pBdr>
                <w:top w:val="nil"/>
                <w:left w:val="nil"/>
                <w:bottom w:val="nil"/>
                <w:right w:val="nil"/>
                <w:between w:val="nil"/>
              </w:pBdr>
              <w:spacing w:before="183" w:line="233"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Geral</w:t>
            </w:r>
          </w:p>
        </w:tc>
        <w:tc>
          <w:tcPr>
            <w:tcW w:w="1021" w:type="dxa"/>
          </w:tcPr>
          <w:p w14:paraId="0039B980"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78" w:type="dxa"/>
          </w:tcPr>
          <w:p w14:paraId="418E1807"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033C902F" w14:textId="77777777" w:rsidR="002A2CCD" w:rsidRPr="00884B8E" w:rsidRDefault="00897666">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2.077.426</w:t>
            </w:r>
          </w:p>
        </w:tc>
        <w:tc>
          <w:tcPr>
            <w:tcW w:w="1681" w:type="dxa"/>
          </w:tcPr>
          <w:p w14:paraId="45741BAA"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094" w:type="dxa"/>
          </w:tcPr>
          <w:p w14:paraId="12561245"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0B078C74" w14:textId="77777777" w:rsidR="002A2CCD" w:rsidRPr="00884B8E"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884B8E">
              <w:rPr>
                <w:rFonts w:ascii="Arial" w:eastAsia="Times New Roman" w:hAnsi="Arial" w:cs="Arial"/>
                <w:color w:val="000000"/>
                <w:sz w:val="20"/>
                <w:szCs w:val="20"/>
              </w:rPr>
              <w:t>378.630</w:t>
            </w:r>
          </w:p>
        </w:tc>
        <w:tc>
          <w:tcPr>
            <w:tcW w:w="1095" w:type="dxa"/>
          </w:tcPr>
          <w:p w14:paraId="3BA3F82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106" w:type="dxa"/>
          </w:tcPr>
          <w:p w14:paraId="1C7320D2" w14:textId="77777777" w:rsidR="002A2CCD" w:rsidRPr="00884B8E" w:rsidRDefault="002A2CCD">
            <w:pPr>
              <w:pBdr>
                <w:top w:val="nil"/>
                <w:left w:val="nil"/>
                <w:bottom w:val="nil"/>
                <w:right w:val="nil"/>
                <w:between w:val="nil"/>
              </w:pBdr>
              <w:spacing w:before="1"/>
              <w:rPr>
                <w:rFonts w:ascii="Arial" w:eastAsia="Times New Roman" w:hAnsi="Arial" w:cs="Arial"/>
                <w:color w:val="000000"/>
                <w:sz w:val="20"/>
                <w:szCs w:val="20"/>
              </w:rPr>
            </w:pPr>
          </w:p>
          <w:p w14:paraId="07BEE46C" w14:textId="77777777" w:rsidR="002A2CCD" w:rsidRPr="00884B8E"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884B8E">
              <w:rPr>
                <w:rFonts w:ascii="Arial" w:eastAsia="Times New Roman" w:hAnsi="Arial" w:cs="Arial"/>
                <w:color w:val="000000"/>
                <w:sz w:val="20"/>
                <w:szCs w:val="20"/>
              </w:rPr>
              <w:t>2.456.056</w:t>
            </w:r>
          </w:p>
        </w:tc>
      </w:tr>
    </w:tbl>
    <w:p w14:paraId="5EB2CD41" w14:textId="4D0A6C0C" w:rsidR="00B81FF7" w:rsidRPr="00884B8E" w:rsidRDefault="00B81FF7" w:rsidP="00B81FF7">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FE58A2" w:rsidRPr="00884B8E">
        <w:rPr>
          <w:rFonts w:ascii="Arial" w:eastAsia="Arial" w:hAnsi="Arial" w:cs="Arial"/>
          <w:sz w:val="20"/>
          <w:szCs w:val="20"/>
        </w:rPr>
        <w:t xml:space="preserve">. </w:t>
      </w:r>
    </w:p>
    <w:p w14:paraId="6BB76923" w14:textId="77777777" w:rsidR="002A2CCD" w:rsidRPr="00827700" w:rsidRDefault="002A2CCD">
      <w:pPr>
        <w:widowControl w:val="0"/>
        <w:pBdr>
          <w:top w:val="nil"/>
          <w:left w:val="nil"/>
          <w:bottom w:val="nil"/>
          <w:right w:val="nil"/>
          <w:between w:val="nil"/>
        </w:pBdr>
        <w:spacing w:after="0" w:line="240" w:lineRule="auto"/>
        <w:rPr>
          <w:rFonts w:ascii="Arial" w:eastAsia="Times New Roman" w:hAnsi="Arial" w:cs="Arial"/>
          <w:color w:val="000000"/>
        </w:rPr>
      </w:pPr>
    </w:p>
    <w:p w14:paraId="76494E1C" w14:textId="7EDA2760" w:rsidR="002A2CCD" w:rsidRPr="00884B8E" w:rsidRDefault="00897666">
      <w:pPr>
        <w:widowControl w:val="0"/>
        <w:pBdr>
          <w:top w:val="nil"/>
          <w:left w:val="nil"/>
          <w:bottom w:val="nil"/>
          <w:right w:val="nil"/>
          <w:between w:val="nil"/>
        </w:pBdr>
        <w:spacing w:before="161" w:after="0" w:line="360" w:lineRule="auto"/>
        <w:ind w:firstLine="719"/>
        <w:jc w:val="both"/>
        <w:rPr>
          <w:rFonts w:ascii="Arial" w:eastAsia="Arial" w:hAnsi="Arial" w:cs="Arial"/>
          <w:color w:val="000000"/>
          <w:sz w:val="24"/>
          <w:szCs w:val="24"/>
        </w:rPr>
      </w:pPr>
      <w:r w:rsidRPr="00884B8E">
        <w:rPr>
          <w:rFonts w:ascii="Arial" w:eastAsia="Arial" w:hAnsi="Arial" w:cs="Arial"/>
          <w:color w:val="000000"/>
          <w:sz w:val="24"/>
          <w:szCs w:val="24"/>
        </w:rPr>
        <w:t xml:space="preserve">A tabela mostra que as mulheres no </w:t>
      </w:r>
      <w:r w:rsidR="00FE58A2" w:rsidRPr="00884B8E">
        <w:rPr>
          <w:rFonts w:ascii="Arial" w:eastAsia="Arial" w:hAnsi="Arial" w:cs="Arial"/>
          <w:color w:val="000000"/>
          <w:sz w:val="24"/>
          <w:szCs w:val="24"/>
        </w:rPr>
        <w:t>E</w:t>
      </w:r>
      <w:r w:rsidRPr="00884B8E">
        <w:rPr>
          <w:rFonts w:ascii="Arial" w:eastAsia="Arial" w:hAnsi="Arial" w:cs="Arial"/>
          <w:color w:val="000000"/>
          <w:sz w:val="24"/>
          <w:szCs w:val="24"/>
        </w:rPr>
        <w:t>stado</w:t>
      </w:r>
      <w:r w:rsidR="00FE58A2"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além de </w:t>
      </w:r>
      <w:r w:rsidR="00FE58A2" w:rsidRPr="00884B8E">
        <w:rPr>
          <w:rFonts w:ascii="Arial" w:eastAsia="Arial" w:hAnsi="Arial" w:cs="Arial"/>
          <w:color w:val="000000"/>
          <w:sz w:val="24"/>
          <w:szCs w:val="24"/>
        </w:rPr>
        <w:t xml:space="preserve">terem </w:t>
      </w:r>
      <w:r w:rsidRPr="00884B8E">
        <w:rPr>
          <w:rFonts w:ascii="Arial" w:eastAsia="Arial" w:hAnsi="Arial" w:cs="Arial"/>
          <w:color w:val="000000"/>
          <w:sz w:val="24"/>
          <w:szCs w:val="24"/>
        </w:rPr>
        <w:t xml:space="preserve">o maior eleitorado, também são as que mais participaram de </w:t>
      </w:r>
      <w:r w:rsidR="00FE58A2" w:rsidRPr="00884B8E">
        <w:rPr>
          <w:rFonts w:ascii="Arial" w:eastAsia="Arial" w:hAnsi="Arial" w:cs="Arial"/>
          <w:color w:val="000000"/>
          <w:sz w:val="24"/>
          <w:szCs w:val="24"/>
        </w:rPr>
        <w:t xml:space="preserve">modo direto </w:t>
      </w:r>
      <w:r w:rsidRPr="00884B8E">
        <w:rPr>
          <w:rFonts w:ascii="Arial" w:eastAsia="Arial" w:hAnsi="Arial" w:cs="Arial"/>
          <w:color w:val="000000"/>
          <w:sz w:val="24"/>
          <w:szCs w:val="24"/>
        </w:rPr>
        <w:t xml:space="preserve">com o comparecimento nas urnas, tendo índices de abstenção abaixo dos quinze por cento. Por conseguinte, o proposto </w:t>
      </w:r>
      <w:r w:rsidR="00FE58A2" w:rsidRPr="00884B8E">
        <w:rPr>
          <w:rFonts w:ascii="Arial" w:eastAsia="Arial" w:hAnsi="Arial" w:cs="Arial"/>
          <w:color w:val="000000"/>
          <w:sz w:val="24"/>
          <w:szCs w:val="24"/>
        </w:rPr>
        <w:t xml:space="preserve">é </w:t>
      </w:r>
      <w:r w:rsidRPr="00884B8E">
        <w:rPr>
          <w:rFonts w:ascii="Arial" w:eastAsia="Arial" w:hAnsi="Arial" w:cs="Arial"/>
          <w:color w:val="000000"/>
          <w:sz w:val="24"/>
          <w:szCs w:val="24"/>
        </w:rPr>
        <w:t>observar os níveis de evolução de candidaturas, para isso, são observados os dados das eleições de 2020 e 2016 no estado do Piauí. Enfatiza-se que os dados citados se referem aos cargos de vereadores, vice-prefeitos e prefeitos.</w:t>
      </w:r>
    </w:p>
    <w:p w14:paraId="754685AD" w14:textId="77777777" w:rsidR="002A2CCD" w:rsidRPr="00827700" w:rsidRDefault="002A2CCD">
      <w:pPr>
        <w:widowControl w:val="0"/>
        <w:pBdr>
          <w:top w:val="nil"/>
          <w:left w:val="nil"/>
          <w:bottom w:val="nil"/>
          <w:right w:val="nil"/>
          <w:between w:val="nil"/>
        </w:pBdr>
        <w:spacing w:before="1" w:after="0" w:line="240" w:lineRule="auto"/>
        <w:rPr>
          <w:rFonts w:ascii="Arial" w:eastAsia="Times New Roman" w:hAnsi="Arial" w:cs="Arial"/>
          <w:color w:val="000000"/>
          <w:sz w:val="24"/>
          <w:szCs w:val="24"/>
        </w:rPr>
      </w:pPr>
    </w:p>
    <w:p w14:paraId="2D832147" w14:textId="253111F7" w:rsidR="002A2CCD" w:rsidRPr="00884B8E" w:rsidRDefault="00897666">
      <w:pPr>
        <w:pStyle w:val="Ttulo1"/>
        <w:spacing w:before="0"/>
        <w:ind w:left="224"/>
        <w:rPr>
          <w:rFonts w:ascii="Arial" w:eastAsia="Arial" w:hAnsi="Arial" w:cs="Arial"/>
          <w:b w:val="0"/>
          <w:bCs w:val="0"/>
          <w:sz w:val="20"/>
          <w:szCs w:val="20"/>
        </w:rPr>
      </w:pPr>
      <w:bookmarkStart w:id="8" w:name="_heading=h.1t3h5sf" w:colFirst="0" w:colLast="0"/>
      <w:bookmarkEnd w:id="8"/>
      <w:r w:rsidRPr="00884B8E">
        <w:rPr>
          <w:rFonts w:ascii="Arial" w:eastAsia="Arial" w:hAnsi="Arial" w:cs="Arial"/>
          <w:b w:val="0"/>
          <w:bCs w:val="0"/>
          <w:sz w:val="20"/>
          <w:szCs w:val="20"/>
        </w:rPr>
        <w:t xml:space="preserve">Tabela 7 </w:t>
      </w:r>
      <w:r w:rsidR="00FE58A2"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 xml:space="preserve">Evolução de candidaturas nas </w:t>
      </w:r>
      <w:r w:rsidR="00FE58A2" w:rsidRPr="00884B8E">
        <w:rPr>
          <w:rFonts w:ascii="Arial" w:eastAsia="Arial" w:hAnsi="Arial" w:cs="Arial"/>
          <w:b w:val="0"/>
          <w:bCs w:val="0"/>
          <w:sz w:val="20"/>
          <w:szCs w:val="20"/>
        </w:rPr>
        <w:t xml:space="preserve">eleições </w:t>
      </w:r>
      <w:r w:rsidRPr="00884B8E">
        <w:rPr>
          <w:rFonts w:ascii="Arial" w:eastAsia="Arial" w:hAnsi="Arial" w:cs="Arial"/>
          <w:b w:val="0"/>
          <w:bCs w:val="0"/>
          <w:sz w:val="20"/>
          <w:szCs w:val="20"/>
        </w:rPr>
        <w:t>de 2020 (Piauí)</w:t>
      </w:r>
    </w:p>
    <w:tbl>
      <w:tblPr>
        <w:tblStyle w:val="ad"/>
        <w:tblW w:w="7680" w:type="dxa"/>
        <w:tblInd w:w="84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1"/>
        <w:gridCol w:w="2558"/>
        <w:gridCol w:w="2561"/>
      </w:tblGrid>
      <w:tr w:rsidR="002A2CCD" w:rsidRPr="00884B8E" w14:paraId="48806E56" w14:textId="77777777" w:rsidTr="00851CFC">
        <w:trPr>
          <w:trHeight w:val="275"/>
        </w:trPr>
        <w:tc>
          <w:tcPr>
            <w:tcW w:w="2561" w:type="dxa"/>
            <w:shd w:val="clear" w:color="auto" w:fill="FFFFFF" w:themeFill="background1"/>
          </w:tcPr>
          <w:p w14:paraId="19C6E7F1" w14:textId="77777777" w:rsidR="002A2CCD" w:rsidRPr="00884B8E" w:rsidRDefault="00897666">
            <w:pPr>
              <w:pBdr>
                <w:top w:val="nil"/>
                <w:left w:val="nil"/>
                <w:bottom w:val="nil"/>
                <w:right w:val="nil"/>
                <w:between w:val="nil"/>
              </w:pBdr>
              <w:spacing w:line="256" w:lineRule="auto"/>
              <w:ind w:left="621"/>
              <w:contextualSpacing/>
              <w:rPr>
                <w:rFonts w:ascii="Arial" w:eastAsia="Times New Roman" w:hAnsi="Arial" w:cs="Arial"/>
                <w:color w:val="000000"/>
                <w:sz w:val="20"/>
                <w:szCs w:val="20"/>
              </w:rPr>
            </w:pPr>
            <w:r w:rsidRPr="00884B8E">
              <w:rPr>
                <w:rFonts w:ascii="Arial" w:eastAsia="Times New Roman" w:hAnsi="Arial" w:cs="Arial"/>
                <w:color w:val="000000"/>
                <w:sz w:val="20"/>
                <w:szCs w:val="20"/>
              </w:rPr>
              <w:t>Abrangência</w:t>
            </w:r>
          </w:p>
        </w:tc>
        <w:tc>
          <w:tcPr>
            <w:tcW w:w="2558" w:type="dxa"/>
            <w:shd w:val="clear" w:color="auto" w:fill="FFFFFF" w:themeFill="background1"/>
          </w:tcPr>
          <w:p w14:paraId="7EBCB5E1" w14:textId="77777777" w:rsidR="002A2CCD" w:rsidRPr="00884B8E" w:rsidRDefault="00897666">
            <w:pPr>
              <w:pBdr>
                <w:top w:val="nil"/>
                <w:left w:val="nil"/>
                <w:bottom w:val="nil"/>
                <w:right w:val="nil"/>
                <w:between w:val="nil"/>
              </w:pBdr>
              <w:spacing w:line="256" w:lineRule="auto"/>
              <w:ind w:left="596" w:right="586"/>
              <w:contextualSpacing/>
              <w:jc w:val="center"/>
              <w:rPr>
                <w:rFonts w:ascii="Arial" w:eastAsia="Times New Roman" w:hAnsi="Arial" w:cs="Arial"/>
                <w:color w:val="000000"/>
                <w:sz w:val="20"/>
                <w:szCs w:val="20"/>
              </w:rPr>
            </w:pPr>
            <w:r w:rsidRPr="00884B8E">
              <w:rPr>
                <w:rFonts w:ascii="Arial" w:eastAsia="Times New Roman" w:hAnsi="Arial" w:cs="Arial"/>
                <w:color w:val="000000"/>
                <w:sz w:val="20"/>
                <w:szCs w:val="20"/>
              </w:rPr>
              <w:t>Ano eleitoral</w:t>
            </w:r>
          </w:p>
        </w:tc>
        <w:tc>
          <w:tcPr>
            <w:tcW w:w="2561" w:type="dxa"/>
            <w:shd w:val="clear" w:color="auto" w:fill="FFFFFF" w:themeFill="background1"/>
          </w:tcPr>
          <w:p w14:paraId="289A74D2" w14:textId="77777777" w:rsidR="002A2CCD" w:rsidRPr="00884B8E" w:rsidRDefault="00897666">
            <w:pPr>
              <w:pBdr>
                <w:top w:val="nil"/>
                <w:left w:val="nil"/>
                <w:bottom w:val="nil"/>
                <w:right w:val="nil"/>
                <w:between w:val="nil"/>
              </w:pBdr>
              <w:spacing w:line="256" w:lineRule="auto"/>
              <w:ind w:left="629"/>
              <w:contextualSpacing/>
              <w:rPr>
                <w:rFonts w:ascii="Arial" w:eastAsia="Times New Roman" w:hAnsi="Arial" w:cs="Arial"/>
                <w:color w:val="000000"/>
                <w:sz w:val="20"/>
                <w:szCs w:val="20"/>
              </w:rPr>
            </w:pPr>
            <w:r w:rsidRPr="00884B8E">
              <w:rPr>
                <w:rFonts w:ascii="Arial" w:eastAsia="Times New Roman" w:hAnsi="Arial" w:cs="Arial"/>
                <w:color w:val="000000"/>
                <w:sz w:val="20"/>
                <w:szCs w:val="20"/>
              </w:rPr>
              <w:t>Quantitativo</w:t>
            </w:r>
          </w:p>
        </w:tc>
      </w:tr>
      <w:tr w:rsidR="002A2CCD" w:rsidRPr="00884B8E" w14:paraId="3C049F44" w14:textId="77777777" w:rsidTr="00851CFC">
        <w:trPr>
          <w:trHeight w:val="275"/>
        </w:trPr>
        <w:tc>
          <w:tcPr>
            <w:tcW w:w="2561" w:type="dxa"/>
          </w:tcPr>
          <w:p w14:paraId="0215AF1D" w14:textId="77777777" w:rsidR="002A2CCD" w:rsidRPr="00884B8E" w:rsidRDefault="00897666">
            <w:pPr>
              <w:pBdr>
                <w:top w:val="nil"/>
                <w:left w:val="nil"/>
                <w:bottom w:val="nil"/>
                <w:right w:val="nil"/>
                <w:between w:val="nil"/>
              </w:pBdr>
              <w:spacing w:line="256" w:lineRule="auto"/>
              <w:ind w:left="110"/>
              <w:contextualSpacing/>
              <w:rPr>
                <w:rFonts w:ascii="Arial" w:eastAsia="Times New Roman" w:hAnsi="Arial" w:cs="Arial"/>
                <w:color w:val="000000"/>
                <w:sz w:val="20"/>
                <w:szCs w:val="20"/>
              </w:rPr>
            </w:pPr>
            <w:r w:rsidRPr="00884B8E">
              <w:rPr>
                <w:rFonts w:ascii="Arial" w:eastAsia="Times New Roman" w:hAnsi="Arial" w:cs="Arial"/>
                <w:color w:val="000000"/>
                <w:sz w:val="20"/>
                <w:szCs w:val="20"/>
              </w:rPr>
              <w:t>Piauí</w:t>
            </w:r>
          </w:p>
        </w:tc>
        <w:tc>
          <w:tcPr>
            <w:tcW w:w="2558" w:type="dxa"/>
          </w:tcPr>
          <w:p w14:paraId="14EBA528" w14:textId="77777777" w:rsidR="002A2CCD" w:rsidRPr="00884B8E" w:rsidRDefault="00897666">
            <w:pPr>
              <w:pBdr>
                <w:top w:val="nil"/>
                <w:left w:val="nil"/>
                <w:bottom w:val="nil"/>
                <w:right w:val="nil"/>
                <w:between w:val="nil"/>
              </w:pBdr>
              <w:spacing w:line="256" w:lineRule="auto"/>
              <w:ind w:left="596" w:right="586"/>
              <w:contextualSpacing/>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2016</w:t>
            </w:r>
          </w:p>
        </w:tc>
        <w:tc>
          <w:tcPr>
            <w:tcW w:w="2561" w:type="dxa"/>
          </w:tcPr>
          <w:p w14:paraId="2F2BBD29" w14:textId="77777777" w:rsidR="002A2CCD" w:rsidRPr="00884B8E" w:rsidRDefault="00897666">
            <w:pPr>
              <w:pBdr>
                <w:top w:val="nil"/>
                <w:left w:val="nil"/>
                <w:bottom w:val="nil"/>
                <w:right w:val="nil"/>
                <w:between w:val="nil"/>
              </w:pBdr>
              <w:spacing w:line="256" w:lineRule="auto"/>
              <w:ind w:right="92"/>
              <w:contextualSpacing/>
              <w:jc w:val="right"/>
              <w:rPr>
                <w:rFonts w:ascii="Arial" w:eastAsia="Times New Roman" w:hAnsi="Arial" w:cs="Arial"/>
                <w:color w:val="000000"/>
                <w:sz w:val="20"/>
                <w:szCs w:val="20"/>
              </w:rPr>
            </w:pPr>
            <w:r w:rsidRPr="00884B8E">
              <w:rPr>
                <w:rFonts w:ascii="Arial" w:eastAsia="Times New Roman" w:hAnsi="Arial" w:cs="Arial"/>
                <w:color w:val="000000"/>
                <w:sz w:val="20"/>
                <w:szCs w:val="20"/>
              </w:rPr>
              <w:t>10.194</w:t>
            </w:r>
          </w:p>
        </w:tc>
      </w:tr>
      <w:tr w:rsidR="002A2CCD" w:rsidRPr="00884B8E" w14:paraId="081ED27D" w14:textId="77777777" w:rsidTr="00851CFC">
        <w:trPr>
          <w:trHeight w:val="278"/>
        </w:trPr>
        <w:tc>
          <w:tcPr>
            <w:tcW w:w="2561" w:type="dxa"/>
          </w:tcPr>
          <w:p w14:paraId="185ED796" w14:textId="77777777" w:rsidR="002A2CCD" w:rsidRPr="00884B8E" w:rsidRDefault="002A2CCD">
            <w:pPr>
              <w:pBdr>
                <w:top w:val="nil"/>
                <w:left w:val="nil"/>
                <w:bottom w:val="nil"/>
                <w:right w:val="nil"/>
                <w:between w:val="nil"/>
              </w:pBdr>
              <w:contextualSpacing/>
              <w:rPr>
                <w:rFonts w:ascii="Arial" w:eastAsia="Times New Roman" w:hAnsi="Arial" w:cs="Arial"/>
                <w:color w:val="000000"/>
                <w:sz w:val="20"/>
                <w:szCs w:val="20"/>
              </w:rPr>
            </w:pPr>
          </w:p>
        </w:tc>
        <w:tc>
          <w:tcPr>
            <w:tcW w:w="2558" w:type="dxa"/>
          </w:tcPr>
          <w:p w14:paraId="09814DD8" w14:textId="77777777" w:rsidR="002A2CCD" w:rsidRPr="00884B8E" w:rsidRDefault="00897666">
            <w:pPr>
              <w:pBdr>
                <w:top w:val="nil"/>
                <w:left w:val="nil"/>
                <w:bottom w:val="nil"/>
                <w:right w:val="nil"/>
                <w:between w:val="nil"/>
              </w:pBdr>
              <w:spacing w:before="1" w:line="257" w:lineRule="auto"/>
              <w:ind w:left="596" w:right="586"/>
              <w:contextualSpacing/>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2020</w:t>
            </w:r>
          </w:p>
        </w:tc>
        <w:tc>
          <w:tcPr>
            <w:tcW w:w="2561" w:type="dxa"/>
          </w:tcPr>
          <w:p w14:paraId="4093FB5C" w14:textId="77777777" w:rsidR="002A2CCD" w:rsidRPr="00884B8E" w:rsidRDefault="00897666">
            <w:pPr>
              <w:pBdr>
                <w:top w:val="nil"/>
                <w:left w:val="nil"/>
                <w:bottom w:val="nil"/>
                <w:right w:val="nil"/>
                <w:between w:val="nil"/>
              </w:pBdr>
              <w:spacing w:before="1" w:line="257" w:lineRule="auto"/>
              <w:ind w:right="92"/>
              <w:contextualSpacing/>
              <w:jc w:val="right"/>
              <w:rPr>
                <w:rFonts w:ascii="Arial" w:eastAsia="Times New Roman" w:hAnsi="Arial" w:cs="Arial"/>
                <w:color w:val="000000"/>
                <w:sz w:val="20"/>
                <w:szCs w:val="20"/>
              </w:rPr>
            </w:pPr>
            <w:r w:rsidRPr="00884B8E">
              <w:rPr>
                <w:rFonts w:ascii="Arial" w:eastAsia="Times New Roman" w:hAnsi="Arial" w:cs="Arial"/>
                <w:color w:val="000000"/>
                <w:sz w:val="20"/>
                <w:szCs w:val="20"/>
              </w:rPr>
              <w:t>10.664</w:t>
            </w:r>
          </w:p>
        </w:tc>
      </w:tr>
    </w:tbl>
    <w:p w14:paraId="71135826" w14:textId="55D4EB42" w:rsidR="002A2CCD" w:rsidRPr="00827700" w:rsidRDefault="00851CFC" w:rsidP="00827700">
      <w:pPr>
        <w:ind w:left="228" w:right="253"/>
        <w:contextualSpacing/>
        <w:jc w:val="center"/>
        <w:rPr>
          <w:rFonts w:ascii="Arial" w:eastAsia="Times New Roman" w:hAnsi="Arial" w:cs="Arial"/>
          <w:color w:val="00000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FE58A2" w:rsidRPr="00884B8E">
        <w:rPr>
          <w:rFonts w:ascii="Arial" w:eastAsia="Arial" w:hAnsi="Arial" w:cs="Arial"/>
          <w:sz w:val="20"/>
          <w:szCs w:val="20"/>
        </w:rPr>
        <w:t>.</w:t>
      </w:r>
    </w:p>
    <w:p w14:paraId="04556D4D" w14:textId="77777777" w:rsidR="00827700" w:rsidRDefault="00827700">
      <w:pPr>
        <w:widowControl w:val="0"/>
        <w:pBdr>
          <w:top w:val="nil"/>
          <w:left w:val="nil"/>
          <w:bottom w:val="nil"/>
          <w:right w:val="nil"/>
          <w:between w:val="nil"/>
        </w:pBdr>
        <w:spacing w:before="159" w:after="0" w:line="360" w:lineRule="auto"/>
        <w:ind w:firstLine="719"/>
        <w:contextualSpacing/>
        <w:jc w:val="both"/>
        <w:rPr>
          <w:rFonts w:ascii="Arial" w:eastAsia="Arial" w:hAnsi="Arial" w:cs="Arial"/>
          <w:color w:val="000000"/>
          <w:sz w:val="24"/>
          <w:szCs w:val="24"/>
        </w:rPr>
      </w:pPr>
    </w:p>
    <w:p w14:paraId="0E299F85" w14:textId="6FB16AA7" w:rsidR="002A2CCD" w:rsidRPr="00884B8E" w:rsidRDefault="00897666">
      <w:pPr>
        <w:widowControl w:val="0"/>
        <w:pBdr>
          <w:top w:val="nil"/>
          <w:left w:val="nil"/>
          <w:bottom w:val="nil"/>
          <w:right w:val="nil"/>
          <w:between w:val="nil"/>
        </w:pBdr>
        <w:spacing w:before="159" w:after="0" w:line="360" w:lineRule="auto"/>
        <w:ind w:firstLine="719"/>
        <w:contextualSpacing/>
        <w:jc w:val="both"/>
        <w:rPr>
          <w:rFonts w:ascii="Arial" w:eastAsia="Arial" w:hAnsi="Arial" w:cs="Arial"/>
          <w:color w:val="000000"/>
          <w:sz w:val="24"/>
          <w:szCs w:val="24"/>
        </w:rPr>
      </w:pPr>
      <w:r w:rsidRPr="00884B8E">
        <w:rPr>
          <w:rFonts w:ascii="Arial" w:eastAsia="Arial" w:hAnsi="Arial" w:cs="Arial"/>
          <w:color w:val="000000"/>
          <w:sz w:val="24"/>
          <w:szCs w:val="24"/>
        </w:rPr>
        <w:t xml:space="preserve">As eleições de 2020 marcam uma evolução nas candidaturas, ou seja, mais pessoas pleiteavam vagas na política no estado do Piauí. Posteriormente a esta evidência, questiona-se como ficaram as candidaturas femininas. A ampliação do sistema de cotas pode ser </w:t>
      </w:r>
      <w:r w:rsidR="005B3F4C" w:rsidRPr="00884B8E">
        <w:rPr>
          <w:rFonts w:ascii="Arial" w:eastAsia="Arial" w:hAnsi="Arial" w:cs="Arial"/>
          <w:color w:val="000000"/>
          <w:sz w:val="24"/>
          <w:szCs w:val="24"/>
        </w:rPr>
        <w:t xml:space="preserve">entendida </w:t>
      </w:r>
      <w:r w:rsidRPr="00884B8E">
        <w:rPr>
          <w:rFonts w:ascii="Arial" w:eastAsia="Arial" w:hAnsi="Arial" w:cs="Arial"/>
          <w:color w:val="000000"/>
          <w:sz w:val="24"/>
          <w:szCs w:val="24"/>
        </w:rPr>
        <w:t xml:space="preserve">como um fenômeno que proporcionou um aumento significativo das candidaturas, embora </w:t>
      </w:r>
      <w:r w:rsidR="005B3F4C" w:rsidRPr="00884B8E">
        <w:rPr>
          <w:rFonts w:ascii="Arial" w:eastAsia="Arial" w:hAnsi="Arial" w:cs="Arial"/>
          <w:color w:val="000000"/>
          <w:sz w:val="24"/>
          <w:szCs w:val="24"/>
        </w:rPr>
        <w:t xml:space="preserve">também </w:t>
      </w:r>
      <w:r w:rsidRPr="00884B8E">
        <w:rPr>
          <w:rFonts w:ascii="Arial" w:eastAsia="Arial" w:hAnsi="Arial" w:cs="Arial"/>
          <w:color w:val="000000"/>
          <w:sz w:val="24"/>
          <w:szCs w:val="24"/>
        </w:rPr>
        <w:t>possa ser visto como um meio temporário,</w:t>
      </w:r>
      <w:r w:rsidR="005B3F4C" w:rsidRPr="00884B8E">
        <w:rPr>
          <w:rFonts w:ascii="Arial" w:eastAsia="Arial" w:hAnsi="Arial" w:cs="Arial"/>
          <w:color w:val="000000"/>
          <w:sz w:val="24"/>
          <w:szCs w:val="24"/>
        </w:rPr>
        <w:t xml:space="preserve"> que</w:t>
      </w:r>
      <w:r w:rsidRPr="00884B8E">
        <w:rPr>
          <w:rFonts w:ascii="Arial" w:eastAsia="Arial" w:hAnsi="Arial" w:cs="Arial"/>
          <w:color w:val="000000"/>
          <w:sz w:val="24"/>
          <w:szCs w:val="24"/>
        </w:rPr>
        <w:t xml:space="preserve"> tornou </w:t>
      </w:r>
      <w:r w:rsidR="008E17DE" w:rsidRPr="00884B8E">
        <w:rPr>
          <w:rFonts w:ascii="Arial" w:eastAsia="Arial" w:hAnsi="Arial" w:cs="Arial"/>
          <w:color w:val="000000"/>
          <w:sz w:val="24"/>
          <w:szCs w:val="24"/>
        </w:rPr>
        <w:t>mais visíveis</w:t>
      </w:r>
      <w:r w:rsidRPr="00884B8E">
        <w:rPr>
          <w:rFonts w:ascii="Arial" w:eastAsia="Arial" w:hAnsi="Arial" w:cs="Arial"/>
          <w:color w:val="000000"/>
          <w:sz w:val="24"/>
          <w:szCs w:val="24"/>
        </w:rPr>
        <w:t xml:space="preserve"> questões de representatividade no contexto de uma democracia representativa (</w:t>
      </w:r>
      <w:r w:rsidR="000209C3" w:rsidRPr="00884B8E">
        <w:rPr>
          <w:rFonts w:ascii="Arial" w:eastAsia="Arial" w:hAnsi="Arial" w:cs="Arial"/>
          <w:color w:val="000000"/>
          <w:sz w:val="24"/>
          <w:szCs w:val="24"/>
        </w:rPr>
        <w:t>Gortari</w:t>
      </w:r>
      <w:r w:rsidRPr="00884B8E">
        <w:rPr>
          <w:rFonts w:ascii="Arial" w:eastAsia="Arial" w:hAnsi="Arial" w:cs="Arial"/>
          <w:color w:val="000000"/>
          <w:sz w:val="24"/>
          <w:szCs w:val="24"/>
        </w:rPr>
        <w:t xml:space="preserve">, 2020). </w:t>
      </w:r>
      <w:r w:rsidR="005B3F4C" w:rsidRPr="00884B8E">
        <w:rPr>
          <w:rFonts w:ascii="Arial" w:eastAsia="Arial" w:hAnsi="Arial" w:cs="Arial"/>
          <w:color w:val="000000"/>
          <w:sz w:val="24"/>
          <w:szCs w:val="24"/>
        </w:rPr>
        <w:t>Sendo assim</w:t>
      </w:r>
      <w:r w:rsidRPr="00884B8E">
        <w:rPr>
          <w:rFonts w:ascii="Arial" w:eastAsia="Arial" w:hAnsi="Arial" w:cs="Arial"/>
          <w:color w:val="000000"/>
          <w:sz w:val="24"/>
          <w:szCs w:val="24"/>
        </w:rPr>
        <w:t xml:space="preserve">, é possível destacar uma evolução feminina nas candidaturas no Piauí para o cargo de vereadores? Para isso, apresenta-se a </w:t>
      </w:r>
      <w:r w:rsidR="005B3F4C" w:rsidRPr="00884B8E">
        <w:rPr>
          <w:rFonts w:ascii="Arial" w:eastAsia="Arial" w:hAnsi="Arial" w:cs="Arial"/>
          <w:color w:val="000000"/>
          <w:sz w:val="24"/>
          <w:szCs w:val="24"/>
        </w:rPr>
        <w:t>T</w:t>
      </w:r>
      <w:r w:rsidRPr="00884B8E">
        <w:rPr>
          <w:rFonts w:ascii="Arial" w:eastAsia="Arial" w:hAnsi="Arial" w:cs="Arial"/>
          <w:color w:val="000000"/>
          <w:sz w:val="24"/>
          <w:szCs w:val="24"/>
        </w:rPr>
        <w:t xml:space="preserve">abela </w:t>
      </w:r>
      <w:r w:rsidR="005B3F4C" w:rsidRPr="00884B8E">
        <w:rPr>
          <w:rFonts w:ascii="Arial" w:eastAsia="Arial" w:hAnsi="Arial" w:cs="Arial"/>
          <w:color w:val="000000"/>
          <w:sz w:val="24"/>
          <w:szCs w:val="24"/>
        </w:rPr>
        <w:t xml:space="preserve">8, </w:t>
      </w:r>
      <w:r w:rsidRPr="00884B8E">
        <w:rPr>
          <w:rFonts w:ascii="Arial" w:eastAsia="Arial" w:hAnsi="Arial" w:cs="Arial"/>
          <w:color w:val="000000"/>
          <w:sz w:val="24"/>
          <w:szCs w:val="24"/>
        </w:rPr>
        <w:t>a seguir:</w:t>
      </w:r>
    </w:p>
    <w:p w14:paraId="14B38E1F" w14:textId="77777777" w:rsidR="008F6498" w:rsidRPr="00884B8E" w:rsidRDefault="008F6498">
      <w:pPr>
        <w:pStyle w:val="Ttulo1"/>
        <w:spacing w:before="1"/>
        <w:ind w:left="228" w:right="254"/>
        <w:rPr>
          <w:rFonts w:ascii="Arial" w:eastAsia="Arial" w:hAnsi="Arial" w:cs="Arial"/>
          <w:b w:val="0"/>
          <w:bCs w:val="0"/>
          <w:sz w:val="20"/>
          <w:szCs w:val="20"/>
        </w:rPr>
      </w:pPr>
      <w:bookmarkStart w:id="9" w:name="_heading=h.4d34og8" w:colFirst="0" w:colLast="0"/>
      <w:bookmarkEnd w:id="9"/>
    </w:p>
    <w:p w14:paraId="471171ED" w14:textId="77777777" w:rsidR="008F6498" w:rsidRPr="00884B8E" w:rsidRDefault="008F6498">
      <w:pPr>
        <w:pStyle w:val="Ttulo1"/>
        <w:spacing w:before="1"/>
        <w:ind w:left="228" w:right="254"/>
        <w:rPr>
          <w:rFonts w:ascii="Arial" w:eastAsia="Arial" w:hAnsi="Arial" w:cs="Arial"/>
          <w:b w:val="0"/>
          <w:bCs w:val="0"/>
          <w:sz w:val="20"/>
          <w:szCs w:val="20"/>
        </w:rPr>
      </w:pPr>
    </w:p>
    <w:p w14:paraId="4A0D799F" w14:textId="039DBCEB" w:rsidR="002A2CCD" w:rsidRPr="00884B8E" w:rsidRDefault="00897666">
      <w:pPr>
        <w:pStyle w:val="Ttulo1"/>
        <w:spacing w:before="1"/>
        <w:ind w:left="228" w:right="254"/>
        <w:rPr>
          <w:rFonts w:ascii="Arial" w:eastAsia="Arial" w:hAnsi="Arial" w:cs="Arial"/>
          <w:b w:val="0"/>
          <w:bCs w:val="0"/>
          <w:sz w:val="20"/>
          <w:szCs w:val="20"/>
        </w:rPr>
      </w:pPr>
      <w:r w:rsidRPr="00884B8E">
        <w:rPr>
          <w:rFonts w:ascii="Arial" w:eastAsia="Arial" w:hAnsi="Arial" w:cs="Arial"/>
          <w:b w:val="0"/>
          <w:bCs w:val="0"/>
          <w:sz w:val="20"/>
          <w:szCs w:val="20"/>
        </w:rPr>
        <w:t xml:space="preserve">Tabela 8 </w:t>
      </w:r>
      <w:r w:rsidR="005B3F4C" w:rsidRPr="00884B8E">
        <w:rPr>
          <w:rFonts w:ascii="Arial" w:eastAsia="Arial" w:hAnsi="Arial" w:cs="Arial"/>
          <w:b w:val="0"/>
          <w:bCs w:val="0"/>
          <w:sz w:val="20"/>
          <w:szCs w:val="20"/>
        </w:rPr>
        <w:t xml:space="preserve">– </w:t>
      </w:r>
      <w:r w:rsidRPr="00884B8E">
        <w:rPr>
          <w:rFonts w:ascii="Arial" w:eastAsia="Arial" w:hAnsi="Arial" w:cs="Arial"/>
          <w:b w:val="0"/>
          <w:bCs w:val="0"/>
          <w:sz w:val="20"/>
          <w:szCs w:val="20"/>
        </w:rPr>
        <w:t xml:space="preserve">Evolução de candidaturas nas </w:t>
      </w:r>
      <w:r w:rsidR="005B3F4C" w:rsidRPr="00884B8E">
        <w:rPr>
          <w:rFonts w:ascii="Arial" w:eastAsia="Arial" w:hAnsi="Arial" w:cs="Arial"/>
          <w:b w:val="0"/>
          <w:bCs w:val="0"/>
          <w:sz w:val="20"/>
          <w:szCs w:val="20"/>
        </w:rPr>
        <w:t xml:space="preserve">eleições </w:t>
      </w:r>
      <w:r w:rsidRPr="00884B8E">
        <w:rPr>
          <w:rFonts w:ascii="Arial" w:eastAsia="Arial" w:hAnsi="Arial" w:cs="Arial"/>
          <w:b w:val="0"/>
          <w:bCs w:val="0"/>
          <w:sz w:val="20"/>
          <w:szCs w:val="20"/>
        </w:rPr>
        <w:t>de 2020 por gênero (Piauí)</w:t>
      </w:r>
    </w:p>
    <w:tbl>
      <w:tblPr>
        <w:tblStyle w:val="ae"/>
        <w:tblW w:w="9060"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975"/>
        <w:gridCol w:w="1455"/>
        <w:gridCol w:w="1635"/>
        <w:gridCol w:w="1395"/>
        <w:gridCol w:w="1590"/>
      </w:tblGrid>
      <w:tr w:rsidR="002A2CCD" w:rsidRPr="00884B8E" w14:paraId="17F71128" w14:textId="77777777" w:rsidTr="005B5D10">
        <w:trPr>
          <w:trHeight w:val="743"/>
        </w:trPr>
        <w:tc>
          <w:tcPr>
            <w:tcW w:w="2010" w:type="dxa"/>
            <w:shd w:val="clear" w:color="auto" w:fill="FFFFFF" w:themeFill="background1"/>
          </w:tcPr>
          <w:p w14:paraId="485B309D"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6D64E51B" w14:textId="77777777" w:rsidR="002A2CCD" w:rsidRPr="00884B8E" w:rsidRDefault="00897666">
            <w:pPr>
              <w:pBdr>
                <w:top w:val="nil"/>
                <w:left w:val="nil"/>
                <w:bottom w:val="nil"/>
                <w:right w:val="nil"/>
                <w:between w:val="nil"/>
              </w:pBdr>
              <w:ind w:left="412"/>
              <w:rPr>
                <w:rFonts w:ascii="Arial" w:eastAsia="Times New Roman" w:hAnsi="Arial" w:cs="Arial"/>
                <w:color w:val="000000"/>
                <w:sz w:val="20"/>
                <w:szCs w:val="20"/>
              </w:rPr>
            </w:pPr>
            <w:r w:rsidRPr="00884B8E">
              <w:rPr>
                <w:rFonts w:ascii="Arial" w:eastAsia="Times New Roman" w:hAnsi="Arial" w:cs="Arial"/>
                <w:color w:val="000000"/>
                <w:sz w:val="20"/>
                <w:szCs w:val="20"/>
              </w:rPr>
              <w:t>Abrangência</w:t>
            </w:r>
          </w:p>
        </w:tc>
        <w:tc>
          <w:tcPr>
            <w:tcW w:w="975" w:type="dxa"/>
            <w:shd w:val="clear" w:color="auto" w:fill="FFFFFF" w:themeFill="background1"/>
          </w:tcPr>
          <w:p w14:paraId="52B62722" w14:textId="77777777" w:rsidR="002A2CCD" w:rsidRPr="00884B8E" w:rsidRDefault="002A2CCD">
            <w:pPr>
              <w:pBdr>
                <w:top w:val="nil"/>
                <w:left w:val="nil"/>
                <w:bottom w:val="nil"/>
                <w:right w:val="nil"/>
                <w:between w:val="nil"/>
              </w:pBdr>
              <w:spacing w:before="4"/>
              <w:rPr>
                <w:rFonts w:ascii="Arial" w:eastAsia="Times New Roman" w:hAnsi="Arial" w:cs="Arial"/>
                <w:color w:val="000000"/>
                <w:sz w:val="20"/>
                <w:szCs w:val="20"/>
              </w:rPr>
            </w:pPr>
          </w:p>
          <w:p w14:paraId="3108139A" w14:textId="77777777" w:rsidR="002A2CCD" w:rsidRPr="00884B8E" w:rsidRDefault="00897666">
            <w:pPr>
              <w:pBdr>
                <w:top w:val="nil"/>
                <w:left w:val="nil"/>
                <w:bottom w:val="nil"/>
                <w:right w:val="nil"/>
                <w:between w:val="nil"/>
              </w:pBdr>
              <w:spacing w:line="252" w:lineRule="auto"/>
              <w:ind w:left="107" w:right="80" w:firstLine="189"/>
              <w:rPr>
                <w:rFonts w:ascii="Arial" w:eastAsia="Times New Roman" w:hAnsi="Arial" w:cs="Arial"/>
                <w:color w:val="000000"/>
                <w:sz w:val="20"/>
                <w:szCs w:val="20"/>
              </w:rPr>
            </w:pPr>
            <w:r w:rsidRPr="00884B8E">
              <w:rPr>
                <w:rFonts w:ascii="Arial" w:eastAsia="Times New Roman" w:hAnsi="Arial" w:cs="Arial"/>
                <w:color w:val="000000"/>
                <w:sz w:val="20"/>
                <w:szCs w:val="20"/>
              </w:rPr>
              <w:t>Ano eleitoral</w:t>
            </w:r>
          </w:p>
        </w:tc>
        <w:tc>
          <w:tcPr>
            <w:tcW w:w="1455" w:type="dxa"/>
            <w:shd w:val="clear" w:color="auto" w:fill="FFFFFF" w:themeFill="background1"/>
          </w:tcPr>
          <w:p w14:paraId="1DE4C307"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6C1AB357" w14:textId="77777777" w:rsidR="002A2CCD" w:rsidRPr="00884B8E" w:rsidRDefault="00897666">
            <w:pPr>
              <w:pBdr>
                <w:top w:val="nil"/>
                <w:left w:val="nil"/>
                <w:bottom w:val="nil"/>
                <w:right w:val="nil"/>
                <w:between w:val="nil"/>
              </w:pBdr>
              <w:ind w:left="301" w:right="29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Cargo</w:t>
            </w:r>
          </w:p>
        </w:tc>
        <w:tc>
          <w:tcPr>
            <w:tcW w:w="1635" w:type="dxa"/>
            <w:shd w:val="clear" w:color="auto" w:fill="FFFFFF" w:themeFill="background1"/>
          </w:tcPr>
          <w:p w14:paraId="575EFB9A"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71E72B78" w14:textId="77777777" w:rsidR="002A2CCD" w:rsidRPr="00884B8E" w:rsidRDefault="00897666">
            <w:pPr>
              <w:pBdr>
                <w:top w:val="nil"/>
                <w:left w:val="nil"/>
                <w:bottom w:val="nil"/>
                <w:right w:val="nil"/>
                <w:between w:val="nil"/>
              </w:pBdr>
              <w:ind w:left="474"/>
              <w:rPr>
                <w:rFonts w:ascii="Arial" w:eastAsia="Times New Roman" w:hAnsi="Arial" w:cs="Arial"/>
                <w:color w:val="000000"/>
                <w:sz w:val="20"/>
                <w:szCs w:val="20"/>
              </w:rPr>
            </w:pPr>
            <w:r w:rsidRPr="00884B8E">
              <w:rPr>
                <w:rFonts w:ascii="Arial" w:eastAsia="Times New Roman" w:hAnsi="Arial" w:cs="Arial"/>
                <w:color w:val="000000"/>
                <w:sz w:val="20"/>
                <w:szCs w:val="20"/>
              </w:rPr>
              <w:t>Gênero</w:t>
            </w:r>
          </w:p>
        </w:tc>
        <w:tc>
          <w:tcPr>
            <w:tcW w:w="1395" w:type="dxa"/>
            <w:shd w:val="clear" w:color="auto" w:fill="FFFFFF" w:themeFill="background1"/>
          </w:tcPr>
          <w:p w14:paraId="4C7B8358" w14:textId="77777777" w:rsidR="002A2CCD" w:rsidRPr="00884B8E" w:rsidRDefault="002A2CCD">
            <w:pPr>
              <w:pBdr>
                <w:top w:val="nil"/>
                <w:left w:val="nil"/>
                <w:bottom w:val="nil"/>
                <w:right w:val="nil"/>
                <w:between w:val="nil"/>
              </w:pBdr>
              <w:spacing w:before="11"/>
              <w:rPr>
                <w:rFonts w:ascii="Arial" w:eastAsia="Times New Roman" w:hAnsi="Arial" w:cs="Arial"/>
                <w:color w:val="000000"/>
                <w:sz w:val="20"/>
                <w:szCs w:val="20"/>
              </w:rPr>
            </w:pPr>
          </w:p>
          <w:p w14:paraId="396A9E69" w14:textId="77777777" w:rsidR="002A2CCD" w:rsidRPr="00884B8E" w:rsidRDefault="00897666">
            <w:pPr>
              <w:pBdr>
                <w:top w:val="nil"/>
                <w:left w:val="nil"/>
                <w:bottom w:val="nil"/>
                <w:right w:val="nil"/>
                <w:between w:val="nil"/>
              </w:pBdr>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Quantitativo</w:t>
            </w:r>
          </w:p>
        </w:tc>
        <w:tc>
          <w:tcPr>
            <w:tcW w:w="1590" w:type="dxa"/>
            <w:shd w:val="clear" w:color="auto" w:fill="FFFFFF" w:themeFill="background1"/>
          </w:tcPr>
          <w:p w14:paraId="4A4BFB02" w14:textId="77777777" w:rsidR="002A2CCD" w:rsidRPr="00884B8E" w:rsidRDefault="002A2CCD">
            <w:pPr>
              <w:pBdr>
                <w:top w:val="nil"/>
                <w:left w:val="nil"/>
                <w:bottom w:val="nil"/>
                <w:right w:val="nil"/>
                <w:between w:val="nil"/>
              </w:pBdr>
              <w:spacing w:before="4"/>
              <w:rPr>
                <w:rFonts w:ascii="Arial" w:eastAsia="Times New Roman" w:hAnsi="Arial" w:cs="Arial"/>
                <w:color w:val="000000"/>
                <w:sz w:val="20"/>
                <w:szCs w:val="20"/>
              </w:rPr>
            </w:pPr>
          </w:p>
          <w:p w14:paraId="5FE965E6" w14:textId="77777777" w:rsidR="002A2CCD" w:rsidRPr="00884B8E" w:rsidRDefault="00897666">
            <w:pPr>
              <w:pBdr>
                <w:top w:val="nil"/>
                <w:left w:val="nil"/>
                <w:bottom w:val="nil"/>
                <w:right w:val="nil"/>
                <w:between w:val="nil"/>
              </w:pBdr>
              <w:spacing w:line="252" w:lineRule="auto"/>
              <w:ind w:left="566" w:right="113" w:hanging="435"/>
              <w:rPr>
                <w:rFonts w:ascii="Arial" w:eastAsia="Times New Roman" w:hAnsi="Arial" w:cs="Arial"/>
                <w:color w:val="000000"/>
                <w:sz w:val="20"/>
                <w:szCs w:val="20"/>
              </w:rPr>
            </w:pPr>
            <w:r w:rsidRPr="00884B8E">
              <w:rPr>
                <w:rFonts w:ascii="Arial" w:eastAsia="Times New Roman" w:hAnsi="Arial" w:cs="Arial"/>
                <w:color w:val="000000"/>
                <w:sz w:val="20"/>
                <w:szCs w:val="20"/>
              </w:rPr>
              <w:t>Porcentagem (%)</w:t>
            </w:r>
          </w:p>
        </w:tc>
      </w:tr>
      <w:tr w:rsidR="002A2CCD" w:rsidRPr="00884B8E" w14:paraId="3AC24B48" w14:textId="77777777" w:rsidTr="005B5D10">
        <w:trPr>
          <w:trHeight w:val="326"/>
        </w:trPr>
        <w:tc>
          <w:tcPr>
            <w:tcW w:w="2010" w:type="dxa"/>
          </w:tcPr>
          <w:p w14:paraId="7C59F4E2" w14:textId="77777777" w:rsidR="002A2CCD" w:rsidRPr="00884B8E" w:rsidRDefault="00897666">
            <w:pPr>
              <w:pBdr>
                <w:top w:val="nil"/>
                <w:left w:val="nil"/>
                <w:bottom w:val="nil"/>
                <w:right w:val="nil"/>
                <w:between w:val="nil"/>
              </w:pBdr>
              <w:spacing w:before="1"/>
              <w:ind w:left="107"/>
              <w:rPr>
                <w:rFonts w:ascii="Arial" w:eastAsia="Times New Roman" w:hAnsi="Arial" w:cs="Arial"/>
                <w:color w:val="000000"/>
                <w:sz w:val="20"/>
                <w:szCs w:val="20"/>
              </w:rPr>
            </w:pPr>
            <w:r w:rsidRPr="00884B8E">
              <w:rPr>
                <w:rFonts w:ascii="Arial" w:eastAsia="Times New Roman" w:hAnsi="Arial" w:cs="Arial"/>
                <w:color w:val="000000"/>
                <w:sz w:val="20"/>
                <w:szCs w:val="20"/>
              </w:rPr>
              <w:t>Piauí</w:t>
            </w:r>
          </w:p>
        </w:tc>
        <w:tc>
          <w:tcPr>
            <w:tcW w:w="975" w:type="dxa"/>
          </w:tcPr>
          <w:p w14:paraId="22147BA3" w14:textId="77777777" w:rsidR="002A2CCD" w:rsidRPr="00884B8E" w:rsidRDefault="00897666">
            <w:pPr>
              <w:pBdr>
                <w:top w:val="nil"/>
                <w:left w:val="nil"/>
                <w:bottom w:val="nil"/>
                <w:right w:val="nil"/>
                <w:between w:val="nil"/>
              </w:pBdr>
              <w:spacing w:before="1"/>
              <w:ind w:left="253" w:right="243"/>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2016</w:t>
            </w:r>
          </w:p>
        </w:tc>
        <w:tc>
          <w:tcPr>
            <w:tcW w:w="1455" w:type="dxa"/>
          </w:tcPr>
          <w:p w14:paraId="06D7E7AC" w14:textId="77777777" w:rsidR="002A2CCD" w:rsidRPr="00884B8E" w:rsidRDefault="00897666">
            <w:pPr>
              <w:pBdr>
                <w:top w:val="nil"/>
                <w:left w:val="nil"/>
                <w:bottom w:val="nil"/>
                <w:right w:val="nil"/>
                <w:between w:val="nil"/>
              </w:pBdr>
              <w:spacing w:before="1"/>
              <w:ind w:left="303" w:right="29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Vereador</w:t>
            </w:r>
          </w:p>
        </w:tc>
        <w:tc>
          <w:tcPr>
            <w:tcW w:w="1635" w:type="dxa"/>
          </w:tcPr>
          <w:p w14:paraId="23DF6197" w14:textId="77777777" w:rsidR="002A2CCD" w:rsidRPr="00884B8E" w:rsidRDefault="00897666">
            <w:pPr>
              <w:pBdr>
                <w:top w:val="nil"/>
                <w:left w:val="nil"/>
                <w:bottom w:val="nil"/>
                <w:right w:val="nil"/>
                <w:between w:val="nil"/>
              </w:pBdr>
              <w:spacing w:before="1"/>
              <w:ind w:left="104"/>
              <w:rPr>
                <w:rFonts w:ascii="Arial" w:eastAsia="Times New Roman" w:hAnsi="Arial" w:cs="Arial"/>
                <w:color w:val="000000"/>
                <w:sz w:val="20"/>
                <w:szCs w:val="20"/>
              </w:rPr>
            </w:pPr>
            <w:r w:rsidRPr="00884B8E">
              <w:rPr>
                <w:rFonts w:ascii="Arial" w:eastAsia="Times New Roman" w:hAnsi="Arial" w:cs="Arial"/>
                <w:color w:val="000000"/>
                <w:sz w:val="20"/>
                <w:szCs w:val="20"/>
              </w:rPr>
              <w:t>Feminino</w:t>
            </w:r>
          </w:p>
        </w:tc>
        <w:tc>
          <w:tcPr>
            <w:tcW w:w="1395" w:type="dxa"/>
          </w:tcPr>
          <w:p w14:paraId="4BAFA8DC" w14:textId="77777777" w:rsidR="002A2CCD" w:rsidRPr="00884B8E" w:rsidRDefault="00897666">
            <w:pPr>
              <w:pBdr>
                <w:top w:val="nil"/>
                <w:left w:val="nil"/>
                <w:bottom w:val="nil"/>
                <w:right w:val="nil"/>
                <w:between w:val="nil"/>
              </w:pBdr>
              <w:spacing w:before="1"/>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3.032</w:t>
            </w:r>
          </w:p>
        </w:tc>
        <w:tc>
          <w:tcPr>
            <w:tcW w:w="1590" w:type="dxa"/>
          </w:tcPr>
          <w:p w14:paraId="2CEDD2F2" w14:textId="77777777" w:rsidR="002A2CCD" w:rsidRPr="00884B8E" w:rsidRDefault="00897666">
            <w:pPr>
              <w:pBdr>
                <w:top w:val="nil"/>
                <w:left w:val="nil"/>
                <w:bottom w:val="nil"/>
                <w:right w:val="nil"/>
                <w:between w:val="nil"/>
              </w:pBdr>
              <w:spacing w:before="1"/>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33,47%</w:t>
            </w:r>
          </w:p>
        </w:tc>
      </w:tr>
      <w:tr w:rsidR="002A2CCD" w:rsidRPr="00884B8E" w14:paraId="08229076" w14:textId="77777777" w:rsidTr="005B5D10">
        <w:trPr>
          <w:trHeight w:val="249"/>
        </w:trPr>
        <w:tc>
          <w:tcPr>
            <w:tcW w:w="2010" w:type="dxa"/>
          </w:tcPr>
          <w:p w14:paraId="4ACED9E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7C8B51F4"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7D3FD52"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6AA9FA0B" w14:textId="77777777" w:rsidR="002A2CCD" w:rsidRPr="00884B8E" w:rsidRDefault="00897666">
            <w:pPr>
              <w:pBdr>
                <w:top w:val="nil"/>
                <w:left w:val="nil"/>
                <w:bottom w:val="nil"/>
                <w:right w:val="nil"/>
                <w:between w:val="nil"/>
              </w:pBdr>
              <w:spacing w:before="1" w:line="233"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Masculino</w:t>
            </w:r>
          </w:p>
        </w:tc>
        <w:tc>
          <w:tcPr>
            <w:tcW w:w="1395" w:type="dxa"/>
          </w:tcPr>
          <w:p w14:paraId="15EA6E3C" w14:textId="77777777" w:rsidR="002A2CCD" w:rsidRPr="00884B8E"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6.027</w:t>
            </w:r>
          </w:p>
        </w:tc>
        <w:tc>
          <w:tcPr>
            <w:tcW w:w="1590" w:type="dxa"/>
          </w:tcPr>
          <w:p w14:paraId="5D93BF66" w14:textId="77777777" w:rsidR="002A2CCD" w:rsidRPr="00884B8E" w:rsidRDefault="00897666">
            <w:pPr>
              <w:pBdr>
                <w:top w:val="nil"/>
                <w:left w:val="nil"/>
                <w:bottom w:val="nil"/>
                <w:right w:val="nil"/>
                <w:between w:val="nil"/>
              </w:pBdr>
              <w:spacing w:before="1" w:line="233"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66,53%</w:t>
            </w:r>
          </w:p>
        </w:tc>
      </w:tr>
      <w:tr w:rsidR="002A2CCD" w:rsidRPr="00884B8E" w14:paraId="233BF239" w14:textId="77777777" w:rsidTr="005B5D10">
        <w:trPr>
          <w:trHeight w:val="246"/>
        </w:trPr>
        <w:tc>
          <w:tcPr>
            <w:tcW w:w="2010" w:type="dxa"/>
          </w:tcPr>
          <w:p w14:paraId="310CC1A1" w14:textId="77777777" w:rsidR="002A2CCD" w:rsidRPr="00884B8E"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Cargo</w:t>
            </w:r>
          </w:p>
        </w:tc>
        <w:tc>
          <w:tcPr>
            <w:tcW w:w="975" w:type="dxa"/>
          </w:tcPr>
          <w:p w14:paraId="516D1142"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603BEDA9"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761960A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469EEFD1"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9.059</w:t>
            </w:r>
          </w:p>
        </w:tc>
        <w:tc>
          <w:tcPr>
            <w:tcW w:w="1590" w:type="dxa"/>
          </w:tcPr>
          <w:p w14:paraId="5A630176"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0876AE6A" w14:textId="77777777" w:rsidTr="005B5D10">
        <w:trPr>
          <w:trHeight w:val="248"/>
        </w:trPr>
        <w:tc>
          <w:tcPr>
            <w:tcW w:w="2010" w:type="dxa"/>
          </w:tcPr>
          <w:p w14:paraId="4DC82CD4" w14:textId="77777777" w:rsidR="002A2CCD" w:rsidRPr="00884B8E"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Abrangência</w:t>
            </w:r>
          </w:p>
        </w:tc>
        <w:tc>
          <w:tcPr>
            <w:tcW w:w="975" w:type="dxa"/>
          </w:tcPr>
          <w:p w14:paraId="136C9CBB"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48C571FF"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59B32917"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493C2EF2" w14:textId="77777777" w:rsidR="002A2CCD" w:rsidRPr="00884B8E"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9.059</w:t>
            </w:r>
          </w:p>
        </w:tc>
        <w:tc>
          <w:tcPr>
            <w:tcW w:w="1590" w:type="dxa"/>
          </w:tcPr>
          <w:p w14:paraId="24E1E0B8"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1E9C13D4" w14:textId="77777777" w:rsidTr="005B5D10">
        <w:trPr>
          <w:trHeight w:val="249"/>
        </w:trPr>
        <w:tc>
          <w:tcPr>
            <w:tcW w:w="2010" w:type="dxa"/>
          </w:tcPr>
          <w:p w14:paraId="4C0DDB7E"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4AAA597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436611B"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3537F17F"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3E3860D1"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590" w:type="dxa"/>
          </w:tcPr>
          <w:p w14:paraId="13E6F6F0"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4288FF0B" w14:textId="77777777" w:rsidTr="005B5D10">
        <w:trPr>
          <w:trHeight w:val="246"/>
        </w:trPr>
        <w:tc>
          <w:tcPr>
            <w:tcW w:w="2010" w:type="dxa"/>
          </w:tcPr>
          <w:p w14:paraId="64B18028" w14:textId="77777777" w:rsidR="002A2CCD" w:rsidRPr="00884B8E"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Piauí</w:t>
            </w:r>
          </w:p>
        </w:tc>
        <w:tc>
          <w:tcPr>
            <w:tcW w:w="975" w:type="dxa"/>
          </w:tcPr>
          <w:p w14:paraId="088E7E10" w14:textId="77777777" w:rsidR="002A2CCD" w:rsidRPr="00884B8E" w:rsidRDefault="00897666">
            <w:pPr>
              <w:pBdr>
                <w:top w:val="nil"/>
                <w:left w:val="nil"/>
                <w:bottom w:val="nil"/>
                <w:right w:val="nil"/>
                <w:between w:val="nil"/>
              </w:pBdr>
              <w:spacing w:line="232" w:lineRule="auto"/>
              <w:ind w:left="253" w:right="243"/>
              <w:jc w:val="center"/>
              <w:rPr>
                <w:rFonts w:ascii="Arial" w:eastAsia="Times New Roman" w:hAnsi="Arial" w:cs="Arial"/>
                <w:color w:val="000000"/>
                <w:sz w:val="20"/>
                <w:szCs w:val="20"/>
              </w:rPr>
            </w:pPr>
            <w:r w:rsidRPr="00884B8E">
              <w:rPr>
                <w:rFonts w:ascii="Arial" w:eastAsia="Times New Roman" w:hAnsi="Arial" w:cs="Arial"/>
                <w:color w:val="000000"/>
                <w:sz w:val="20"/>
                <w:szCs w:val="20"/>
              </w:rPr>
              <w:t>2020</w:t>
            </w:r>
          </w:p>
        </w:tc>
        <w:tc>
          <w:tcPr>
            <w:tcW w:w="1455" w:type="dxa"/>
          </w:tcPr>
          <w:p w14:paraId="5D86E522" w14:textId="77777777" w:rsidR="002A2CCD" w:rsidRPr="00884B8E" w:rsidRDefault="00897666">
            <w:pPr>
              <w:pBdr>
                <w:top w:val="nil"/>
                <w:left w:val="nil"/>
                <w:bottom w:val="nil"/>
                <w:right w:val="nil"/>
                <w:between w:val="nil"/>
              </w:pBdr>
              <w:spacing w:line="232" w:lineRule="auto"/>
              <w:ind w:left="303" w:right="297"/>
              <w:jc w:val="center"/>
              <w:rPr>
                <w:rFonts w:ascii="Arial" w:eastAsia="Times New Roman" w:hAnsi="Arial" w:cs="Arial"/>
                <w:color w:val="000000"/>
                <w:sz w:val="20"/>
                <w:szCs w:val="20"/>
              </w:rPr>
            </w:pPr>
            <w:r w:rsidRPr="00884B8E">
              <w:rPr>
                <w:rFonts w:ascii="Arial" w:eastAsia="Times New Roman" w:hAnsi="Arial" w:cs="Arial"/>
                <w:color w:val="000000"/>
                <w:sz w:val="20"/>
                <w:szCs w:val="20"/>
              </w:rPr>
              <w:t>Vereador</w:t>
            </w:r>
          </w:p>
        </w:tc>
        <w:tc>
          <w:tcPr>
            <w:tcW w:w="1635" w:type="dxa"/>
          </w:tcPr>
          <w:p w14:paraId="1B112178" w14:textId="77777777" w:rsidR="002A2CCD" w:rsidRPr="00884B8E"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Feminino</w:t>
            </w:r>
          </w:p>
        </w:tc>
        <w:tc>
          <w:tcPr>
            <w:tcW w:w="1395" w:type="dxa"/>
          </w:tcPr>
          <w:p w14:paraId="7B3DC372"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3.324</w:t>
            </w:r>
          </w:p>
        </w:tc>
        <w:tc>
          <w:tcPr>
            <w:tcW w:w="1590" w:type="dxa"/>
          </w:tcPr>
          <w:p w14:paraId="0B7FD7DD" w14:textId="77777777" w:rsidR="002A2CCD" w:rsidRPr="00884B8E"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35,21%</w:t>
            </w:r>
          </w:p>
        </w:tc>
      </w:tr>
      <w:tr w:rsidR="002A2CCD" w:rsidRPr="00884B8E" w14:paraId="37AC97B7" w14:textId="77777777" w:rsidTr="005B5D10">
        <w:trPr>
          <w:trHeight w:val="248"/>
        </w:trPr>
        <w:tc>
          <w:tcPr>
            <w:tcW w:w="2010" w:type="dxa"/>
          </w:tcPr>
          <w:p w14:paraId="1CAD26F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39BC564D"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947A4E3"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1C8D54EF" w14:textId="77777777" w:rsidR="002A2CCD" w:rsidRPr="00884B8E"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884B8E">
              <w:rPr>
                <w:rFonts w:ascii="Arial" w:eastAsia="Times New Roman" w:hAnsi="Arial" w:cs="Arial"/>
                <w:color w:val="000000"/>
                <w:sz w:val="20"/>
                <w:szCs w:val="20"/>
              </w:rPr>
              <w:t>Masculino</w:t>
            </w:r>
          </w:p>
        </w:tc>
        <w:tc>
          <w:tcPr>
            <w:tcW w:w="1395" w:type="dxa"/>
          </w:tcPr>
          <w:p w14:paraId="75001EB3" w14:textId="77777777" w:rsidR="002A2CCD" w:rsidRPr="00884B8E" w:rsidRDefault="00897666">
            <w:pPr>
              <w:pBdr>
                <w:top w:val="nil"/>
                <w:left w:val="nil"/>
                <w:bottom w:val="nil"/>
                <w:right w:val="nil"/>
                <w:between w:val="nil"/>
              </w:pBdr>
              <w:spacing w:line="234"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6.116</w:t>
            </w:r>
          </w:p>
        </w:tc>
        <w:tc>
          <w:tcPr>
            <w:tcW w:w="1590" w:type="dxa"/>
          </w:tcPr>
          <w:p w14:paraId="20A6BCFA" w14:textId="77777777" w:rsidR="002A2CCD" w:rsidRPr="00884B8E"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884B8E">
              <w:rPr>
                <w:rFonts w:ascii="Arial" w:eastAsia="Times New Roman" w:hAnsi="Arial" w:cs="Arial"/>
                <w:color w:val="000000"/>
                <w:sz w:val="20"/>
                <w:szCs w:val="20"/>
              </w:rPr>
              <w:t>64,78%</w:t>
            </w:r>
          </w:p>
        </w:tc>
      </w:tr>
      <w:tr w:rsidR="002A2CCD" w:rsidRPr="00884B8E" w14:paraId="1E14447F" w14:textId="77777777" w:rsidTr="005B5D10">
        <w:trPr>
          <w:trHeight w:val="246"/>
        </w:trPr>
        <w:tc>
          <w:tcPr>
            <w:tcW w:w="2010" w:type="dxa"/>
          </w:tcPr>
          <w:p w14:paraId="73451999" w14:textId="77777777" w:rsidR="002A2CCD" w:rsidRPr="00884B8E"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Cargo</w:t>
            </w:r>
          </w:p>
        </w:tc>
        <w:tc>
          <w:tcPr>
            <w:tcW w:w="975" w:type="dxa"/>
          </w:tcPr>
          <w:p w14:paraId="3CF405C8"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788EA597"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13738D31"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52FC43AD" w14:textId="77777777" w:rsidR="002A2CCD" w:rsidRPr="00884B8E"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9.440</w:t>
            </w:r>
          </w:p>
        </w:tc>
        <w:tc>
          <w:tcPr>
            <w:tcW w:w="1590" w:type="dxa"/>
          </w:tcPr>
          <w:p w14:paraId="32BD2A80"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r w:rsidR="002A2CCD" w:rsidRPr="00884B8E" w14:paraId="56E2CFB0" w14:textId="77777777" w:rsidTr="005B5D10">
        <w:trPr>
          <w:trHeight w:val="249"/>
        </w:trPr>
        <w:tc>
          <w:tcPr>
            <w:tcW w:w="2010" w:type="dxa"/>
          </w:tcPr>
          <w:p w14:paraId="0A94875E" w14:textId="77777777" w:rsidR="002A2CCD" w:rsidRPr="00884B8E"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884B8E">
              <w:rPr>
                <w:rFonts w:ascii="Arial" w:eastAsia="Times New Roman" w:hAnsi="Arial" w:cs="Arial"/>
                <w:color w:val="000000"/>
                <w:sz w:val="20"/>
                <w:szCs w:val="20"/>
              </w:rPr>
              <w:t>Total Abrangência</w:t>
            </w:r>
          </w:p>
        </w:tc>
        <w:tc>
          <w:tcPr>
            <w:tcW w:w="975" w:type="dxa"/>
          </w:tcPr>
          <w:p w14:paraId="7F19E2B5"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1F1B377C"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722C6217"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2BBC0897" w14:textId="77777777" w:rsidR="002A2CCD" w:rsidRPr="00884B8E"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884B8E">
              <w:rPr>
                <w:rFonts w:ascii="Arial" w:eastAsia="Times New Roman" w:hAnsi="Arial" w:cs="Arial"/>
                <w:color w:val="000000"/>
                <w:sz w:val="20"/>
                <w:szCs w:val="20"/>
              </w:rPr>
              <w:t>9.440</w:t>
            </w:r>
          </w:p>
        </w:tc>
        <w:tc>
          <w:tcPr>
            <w:tcW w:w="1590" w:type="dxa"/>
          </w:tcPr>
          <w:p w14:paraId="67A242A0" w14:textId="77777777" w:rsidR="002A2CCD" w:rsidRPr="00884B8E" w:rsidRDefault="002A2CCD">
            <w:pPr>
              <w:pBdr>
                <w:top w:val="nil"/>
                <w:left w:val="nil"/>
                <w:bottom w:val="nil"/>
                <w:right w:val="nil"/>
                <w:between w:val="nil"/>
              </w:pBdr>
              <w:rPr>
                <w:rFonts w:ascii="Arial" w:eastAsia="Times New Roman" w:hAnsi="Arial" w:cs="Arial"/>
                <w:color w:val="000000"/>
                <w:sz w:val="20"/>
                <w:szCs w:val="20"/>
              </w:rPr>
            </w:pPr>
          </w:p>
        </w:tc>
      </w:tr>
    </w:tbl>
    <w:p w14:paraId="2052B3AE" w14:textId="5170C85E" w:rsidR="005B5D10" w:rsidRPr="00884B8E" w:rsidRDefault="005B5D10" w:rsidP="005B5D10">
      <w:pPr>
        <w:ind w:left="228" w:right="253"/>
        <w:jc w:val="center"/>
        <w:rPr>
          <w:rFonts w:ascii="Arial" w:eastAsia="Arial" w:hAnsi="Arial" w:cs="Arial"/>
          <w:sz w:val="20"/>
          <w:szCs w:val="20"/>
        </w:rPr>
      </w:pPr>
      <w:r w:rsidRPr="00884B8E">
        <w:rPr>
          <w:rFonts w:ascii="Arial" w:eastAsia="Arial" w:hAnsi="Arial" w:cs="Arial"/>
          <w:bCs/>
          <w:sz w:val="20"/>
          <w:szCs w:val="20"/>
        </w:rPr>
        <w:t>Fonte:</w:t>
      </w:r>
      <w:r w:rsidRPr="00884B8E">
        <w:rPr>
          <w:rFonts w:ascii="Arial" w:eastAsia="Arial" w:hAnsi="Arial" w:cs="Arial"/>
          <w:b/>
          <w:sz w:val="20"/>
          <w:szCs w:val="20"/>
        </w:rPr>
        <w:t xml:space="preserve"> </w:t>
      </w:r>
      <w:r w:rsidRPr="00884B8E">
        <w:rPr>
          <w:rFonts w:ascii="Arial" w:eastAsia="Arial" w:hAnsi="Arial" w:cs="Arial"/>
          <w:sz w:val="20"/>
          <w:szCs w:val="20"/>
        </w:rPr>
        <w:t>TSE (2020)</w:t>
      </w:r>
      <w:r w:rsidR="005B3F4C" w:rsidRPr="00884B8E">
        <w:rPr>
          <w:rFonts w:ascii="Arial" w:eastAsia="Arial" w:hAnsi="Arial" w:cs="Arial"/>
          <w:sz w:val="20"/>
          <w:szCs w:val="20"/>
        </w:rPr>
        <w:t>.</w:t>
      </w:r>
    </w:p>
    <w:p w14:paraId="6694224A" w14:textId="77777777" w:rsidR="002A2CCD" w:rsidRPr="00827700" w:rsidRDefault="002A2CCD">
      <w:pPr>
        <w:widowControl w:val="0"/>
        <w:pBdr>
          <w:top w:val="nil"/>
          <w:left w:val="nil"/>
          <w:bottom w:val="nil"/>
          <w:right w:val="nil"/>
          <w:between w:val="nil"/>
        </w:pBdr>
        <w:spacing w:after="0" w:line="240" w:lineRule="auto"/>
        <w:rPr>
          <w:rFonts w:ascii="Arial" w:eastAsia="Times New Roman" w:hAnsi="Arial" w:cs="Arial"/>
          <w:color w:val="000000"/>
        </w:rPr>
      </w:pPr>
    </w:p>
    <w:p w14:paraId="5BF46E16" w14:textId="11E69D3B" w:rsidR="002A2CCD" w:rsidRPr="00884B8E" w:rsidRDefault="00897666" w:rsidP="001D777E">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sidRPr="00884B8E">
        <w:rPr>
          <w:rFonts w:ascii="Arial" w:eastAsia="Arial" w:hAnsi="Arial" w:cs="Arial"/>
          <w:color w:val="000000"/>
          <w:sz w:val="24"/>
          <w:szCs w:val="24"/>
        </w:rPr>
        <w:t xml:space="preserve">Registra-se uma evolução nas candidaturas femininas de </w:t>
      </w:r>
      <w:r w:rsidR="00D75D20" w:rsidRPr="00884B8E">
        <w:rPr>
          <w:rFonts w:ascii="Arial" w:eastAsia="Arial" w:hAnsi="Arial" w:cs="Arial"/>
          <w:color w:val="000000"/>
          <w:sz w:val="24"/>
          <w:szCs w:val="24"/>
        </w:rPr>
        <w:t xml:space="preserve">modo </w:t>
      </w:r>
      <w:r w:rsidRPr="00884B8E">
        <w:rPr>
          <w:rFonts w:ascii="Arial" w:eastAsia="Arial" w:hAnsi="Arial" w:cs="Arial"/>
          <w:color w:val="000000"/>
          <w:sz w:val="24"/>
          <w:szCs w:val="24"/>
        </w:rPr>
        <w:t>percentual na medida em que as candidaturas masculinas regridem. Desse modo, ao analisar os votos direcionados pelo gênero</w:t>
      </w:r>
      <w:r w:rsidR="00BB5ACF"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percebe-se uma discrepância </w:t>
      </w:r>
      <w:r w:rsidR="007F046E" w:rsidRPr="00884B8E">
        <w:rPr>
          <w:rFonts w:ascii="Arial" w:eastAsia="Arial" w:hAnsi="Arial" w:cs="Arial"/>
          <w:color w:val="000000"/>
          <w:sz w:val="24"/>
          <w:szCs w:val="24"/>
        </w:rPr>
        <w:t>acentuada</w:t>
      </w:r>
      <w:r w:rsidR="00BB5ACF" w:rsidRPr="00884B8E">
        <w:rPr>
          <w:rFonts w:ascii="Arial" w:eastAsia="Arial" w:hAnsi="Arial" w:cs="Arial"/>
          <w:color w:val="000000"/>
          <w:sz w:val="24"/>
          <w:szCs w:val="24"/>
        </w:rPr>
        <w:t xml:space="preserve"> e </w:t>
      </w:r>
      <w:r w:rsidRPr="00884B8E">
        <w:rPr>
          <w:rFonts w:ascii="Arial" w:eastAsia="Arial" w:hAnsi="Arial" w:cs="Arial"/>
          <w:color w:val="000000"/>
          <w:sz w:val="24"/>
          <w:szCs w:val="24"/>
        </w:rPr>
        <w:t>como referência cita</w:t>
      </w:r>
      <w:r w:rsidR="00BB5ACF" w:rsidRPr="00884B8E">
        <w:rPr>
          <w:rFonts w:ascii="Arial" w:eastAsia="Arial" w:hAnsi="Arial" w:cs="Arial"/>
          <w:color w:val="000000"/>
          <w:sz w:val="24"/>
          <w:szCs w:val="24"/>
        </w:rPr>
        <w:t>m</w:t>
      </w:r>
      <w:r w:rsidRPr="00884B8E">
        <w:rPr>
          <w:rFonts w:ascii="Arial" w:eastAsia="Arial" w:hAnsi="Arial" w:cs="Arial"/>
          <w:color w:val="000000"/>
          <w:sz w:val="24"/>
          <w:szCs w:val="24"/>
        </w:rPr>
        <w:t>-se os dados do repositório do Tribunal Superior Eleitoral que descrevem que o total de votos computados foram de 1.875.972 votos nominais, destes 1.447.965 votos foram direcionados para o gênero masculino, averbando 77,18% (0,7718) dos votos e para o gênero feminino apenas 428.007</w:t>
      </w:r>
      <w:r w:rsidR="00BB5ACF"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que registram apenas 22,82% (0,2282) dos votos. Nessa perspectiva, elucida-se que as mulheres no estado do Piauí</w:t>
      </w:r>
      <w:r w:rsidR="00BB5ACF"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nas eleições de 2020</w:t>
      </w:r>
      <w:r w:rsidR="00BB5ACF" w:rsidRPr="00884B8E">
        <w:rPr>
          <w:rFonts w:ascii="Arial" w:eastAsia="Arial" w:hAnsi="Arial" w:cs="Arial"/>
          <w:color w:val="000000"/>
          <w:sz w:val="24"/>
          <w:szCs w:val="24"/>
        </w:rPr>
        <w:t>,</w:t>
      </w:r>
      <w:r w:rsidRPr="00884B8E">
        <w:rPr>
          <w:rFonts w:ascii="Arial" w:eastAsia="Arial" w:hAnsi="Arial" w:cs="Arial"/>
          <w:color w:val="000000"/>
          <w:sz w:val="24"/>
          <w:szCs w:val="24"/>
        </w:rPr>
        <w:t xml:space="preserve"> receberam menos votos, contudo, chama a atenção</w:t>
      </w:r>
      <w:r w:rsidR="00BB5ACF" w:rsidRPr="00884B8E">
        <w:rPr>
          <w:rFonts w:ascii="Arial" w:eastAsia="Arial" w:hAnsi="Arial" w:cs="Arial"/>
          <w:color w:val="000000"/>
          <w:sz w:val="24"/>
          <w:szCs w:val="24"/>
        </w:rPr>
        <w:t xml:space="preserve"> o fato de </w:t>
      </w:r>
      <w:r w:rsidRPr="00884B8E">
        <w:rPr>
          <w:rFonts w:ascii="Arial" w:eastAsia="Arial" w:hAnsi="Arial" w:cs="Arial"/>
          <w:color w:val="000000"/>
          <w:sz w:val="24"/>
          <w:szCs w:val="24"/>
        </w:rPr>
        <w:t xml:space="preserve">as mulheres terem recebido mais votos percentualmente que </w:t>
      </w:r>
      <w:r w:rsidR="00BB5ACF" w:rsidRPr="00884B8E">
        <w:rPr>
          <w:rFonts w:ascii="Arial" w:eastAsia="Arial" w:hAnsi="Arial" w:cs="Arial"/>
          <w:color w:val="000000"/>
          <w:sz w:val="24"/>
          <w:szCs w:val="24"/>
        </w:rPr>
        <w:t>n</w:t>
      </w:r>
      <w:r w:rsidRPr="00884B8E">
        <w:rPr>
          <w:rFonts w:ascii="Arial" w:eastAsia="Arial" w:hAnsi="Arial" w:cs="Arial"/>
          <w:color w:val="000000"/>
          <w:sz w:val="24"/>
          <w:szCs w:val="24"/>
        </w:rPr>
        <w:t>as eleições de 2016, registra</w:t>
      </w:r>
      <w:r w:rsidR="00BB5ACF" w:rsidRPr="00884B8E">
        <w:rPr>
          <w:rFonts w:ascii="Arial" w:eastAsia="Arial" w:hAnsi="Arial" w:cs="Arial"/>
          <w:color w:val="000000"/>
          <w:sz w:val="24"/>
          <w:szCs w:val="24"/>
        </w:rPr>
        <w:t xml:space="preserve">ndo </w:t>
      </w:r>
      <w:r w:rsidRPr="00884B8E">
        <w:rPr>
          <w:rFonts w:ascii="Arial" w:eastAsia="Arial" w:hAnsi="Arial" w:cs="Arial"/>
          <w:color w:val="000000"/>
          <w:sz w:val="24"/>
          <w:szCs w:val="24"/>
        </w:rPr>
        <w:t xml:space="preserve">apenas 325.737 dos votos nominais no registro total de </w:t>
      </w:r>
      <w:r w:rsidRPr="00884B8E">
        <w:rPr>
          <w:rFonts w:ascii="Arial" w:eastAsia="Arial" w:hAnsi="Arial" w:cs="Arial"/>
          <w:color w:val="000000"/>
          <w:sz w:val="24"/>
          <w:szCs w:val="24"/>
        </w:rPr>
        <w:lastRenderedPageBreak/>
        <w:t xml:space="preserve">1.860.883, número percentual </w:t>
      </w:r>
      <w:r w:rsidR="00BB5ACF" w:rsidRPr="00884B8E">
        <w:rPr>
          <w:rFonts w:ascii="Arial" w:eastAsia="Arial" w:hAnsi="Arial" w:cs="Arial"/>
          <w:color w:val="000000"/>
          <w:sz w:val="24"/>
          <w:szCs w:val="24"/>
        </w:rPr>
        <w:t xml:space="preserve">que </w:t>
      </w:r>
      <w:r w:rsidRPr="00884B8E">
        <w:rPr>
          <w:rFonts w:ascii="Arial" w:eastAsia="Arial" w:hAnsi="Arial" w:cs="Arial"/>
          <w:color w:val="000000"/>
          <w:sz w:val="24"/>
          <w:szCs w:val="24"/>
        </w:rPr>
        <w:t>fica em 17,50% (0,1750) dos votos</w:t>
      </w:r>
      <w:r w:rsidR="00BB5ACF" w:rsidRPr="00884B8E">
        <w:rPr>
          <w:rFonts w:ascii="Arial" w:eastAsia="Arial" w:hAnsi="Arial" w:cs="Arial"/>
          <w:color w:val="000000"/>
          <w:sz w:val="24"/>
          <w:szCs w:val="24"/>
        </w:rPr>
        <w:t xml:space="preserve">. Já </w:t>
      </w:r>
      <w:r w:rsidRPr="00884B8E">
        <w:rPr>
          <w:rFonts w:ascii="Arial" w:eastAsia="Arial" w:hAnsi="Arial" w:cs="Arial"/>
          <w:color w:val="000000"/>
          <w:sz w:val="24"/>
          <w:szCs w:val="24"/>
        </w:rPr>
        <w:t>os de gênero masculino receberam 1.535.146, a grande maioria, registrando 82,50% (0,8250) dos votos (TSE, 2020).</w:t>
      </w:r>
    </w:p>
    <w:p w14:paraId="4B302FD6" w14:textId="678B52D7" w:rsidR="002A2CCD" w:rsidRPr="00884B8E" w:rsidRDefault="00897666" w:rsidP="002015F1">
      <w:pPr>
        <w:widowControl w:val="0"/>
        <w:pBdr>
          <w:top w:val="nil"/>
          <w:left w:val="nil"/>
          <w:bottom w:val="nil"/>
          <w:right w:val="nil"/>
          <w:between w:val="nil"/>
        </w:pBdr>
        <w:spacing w:before="240" w:after="0" w:line="360" w:lineRule="auto"/>
        <w:ind w:firstLine="720"/>
        <w:contextualSpacing/>
        <w:jc w:val="both"/>
        <w:rPr>
          <w:rFonts w:ascii="Arial" w:eastAsia="Arial" w:hAnsi="Arial" w:cs="Arial"/>
          <w:color w:val="FF0000"/>
          <w:sz w:val="24"/>
          <w:szCs w:val="24"/>
        </w:rPr>
      </w:pPr>
      <w:r w:rsidRPr="00884B8E">
        <w:rPr>
          <w:rFonts w:ascii="Arial" w:eastAsia="Arial" w:hAnsi="Arial" w:cs="Arial"/>
          <w:sz w:val="24"/>
          <w:szCs w:val="24"/>
        </w:rPr>
        <w:t xml:space="preserve">Dessa forma, diante de todo </w:t>
      </w:r>
      <w:r w:rsidR="00BB5ACF" w:rsidRPr="00884B8E">
        <w:rPr>
          <w:rFonts w:ascii="Arial" w:eastAsia="Arial" w:hAnsi="Arial" w:cs="Arial"/>
          <w:sz w:val="24"/>
          <w:szCs w:val="24"/>
        </w:rPr>
        <w:t xml:space="preserve">o </w:t>
      </w:r>
      <w:r w:rsidRPr="00884B8E">
        <w:rPr>
          <w:rFonts w:ascii="Arial" w:eastAsia="Arial" w:hAnsi="Arial" w:cs="Arial"/>
          <w:sz w:val="24"/>
          <w:szCs w:val="24"/>
        </w:rPr>
        <w:t>levantamento apresentado, registra-se que houve modificações quanto às candidaturas femininas no pleito municipal, contudo, como evidenciado</w:t>
      </w:r>
      <w:r w:rsidR="00BB5ACF" w:rsidRPr="00884B8E">
        <w:rPr>
          <w:rFonts w:ascii="Arial" w:eastAsia="Arial" w:hAnsi="Arial" w:cs="Arial"/>
          <w:sz w:val="24"/>
          <w:szCs w:val="24"/>
        </w:rPr>
        <w:t>,</w:t>
      </w:r>
      <w:r w:rsidRPr="00884B8E">
        <w:rPr>
          <w:rFonts w:ascii="Arial" w:eastAsia="Arial" w:hAnsi="Arial" w:cs="Arial"/>
          <w:sz w:val="24"/>
          <w:szCs w:val="24"/>
        </w:rPr>
        <w:t xml:space="preserve"> o fato somente de terem mais candidaturas não é suficiente para mudança em um</w:t>
      </w:r>
      <w:r w:rsidR="001D777E" w:rsidRPr="00884B8E">
        <w:rPr>
          <w:rFonts w:ascii="Arial" w:eastAsia="Arial" w:hAnsi="Arial" w:cs="Arial"/>
          <w:sz w:val="24"/>
          <w:szCs w:val="24"/>
        </w:rPr>
        <w:t>a cultura</w:t>
      </w:r>
      <w:r w:rsidR="002015F1" w:rsidRPr="00884B8E">
        <w:rPr>
          <w:rFonts w:ascii="Arial" w:eastAsia="Arial" w:hAnsi="Arial" w:cs="Arial"/>
          <w:sz w:val="24"/>
          <w:szCs w:val="24"/>
        </w:rPr>
        <w:t xml:space="preserve"> em que o eleitorado</w:t>
      </w:r>
      <w:r w:rsidRPr="00884B8E">
        <w:rPr>
          <w:rFonts w:ascii="Arial" w:eastAsia="Arial" w:hAnsi="Arial" w:cs="Arial"/>
          <w:sz w:val="24"/>
          <w:szCs w:val="24"/>
        </w:rPr>
        <w:t xml:space="preserve"> não vota em mulheres</w:t>
      </w:r>
      <w:r w:rsidR="002015F1" w:rsidRPr="00884B8E">
        <w:rPr>
          <w:rFonts w:ascii="Arial" w:eastAsia="Arial" w:hAnsi="Arial" w:cs="Arial"/>
          <w:sz w:val="24"/>
          <w:szCs w:val="24"/>
        </w:rPr>
        <w:t xml:space="preserve"> (</w:t>
      </w:r>
      <w:r w:rsidR="000209C3" w:rsidRPr="00884B8E">
        <w:rPr>
          <w:rFonts w:ascii="Arial" w:eastAsia="Arial" w:hAnsi="Arial" w:cs="Arial"/>
          <w:sz w:val="24"/>
          <w:szCs w:val="24"/>
        </w:rPr>
        <w:t>Souza; Accioly</w:t>
      </w:r>
      <w:r w:rsidR="002015F1" w:rsidRPr="00884B8E">
        <w:rPr>
          <w:rFonts w:ascii="Arial" w:eastAsia="Arial" w:hAnsi="Arial" w:cs="Arial"/>
          <w:sz w:val="24"/>
          <w:szCs w:val="24"/>
        </w:rPr>
        <w:t>, 2022)</w:t>
      </w:r>
      <w:r w:rsidRPr="00884B8E">
        <w:rPr>
          <w:rFonts w:ascii="Arial" w:eastAsia="Arial" w:hAnsi="Arial" w:cs="Arial"/>
          <w:sz w:val="24"/>
          <w:szCs w:val="24"/>
        </w:rPr>
        <w:t xml:space="preserve">. Sabe-se que algumas mudanças institucionais recentes trazem consigo objetivos de modificar esse fenômeno eleitoral, </w:t>
      </w:r>
      <w:r w:rsidR="00BB5ACF" w:rsidRPr="00884B8E">
        <w:rPr>
          <w:rFonts w:ascii="Arial" w:eastAsia="Arial" w:hAnsi="Arial" w:cs="Arial"/>
          <w:sz w:val="24"/>
          <w:szCs w:val="24"/>
        </w:rPr>
        <w:t xml:space="preserve">mas </w:t>
      </w:r>
      <w:r w:rsidRPr="00884B8E">
        <w:rPr>
          <w:rFonts w:ascii="Arial" w:eastAsia="Arial" w:hAnsi="Arial" w:cs="Arial"/>
          <w:sz w:val="24"/>
          <w:szCs w:val="24"/>
        </w:rPr>
        <w:t>questiona-se qual tem sido o desempenho e a efetividade dessas mulheres candidatas nas urnas em face da quantidade de votos recebidos e do financiamento eleitoral recebido, por exemplo.</w:t>
      </w:r>
      <w:r w:rsidRPr="00884B8E">
        <w:rPr>
          <w:rFonts w:ascii="Arial" w:eastAsia="Arial" w:hAnsi="Arial" w:cs="Arial"/>
          <w:color w:val="FF0000"/>
          <w:sz w:val="24"/>
          <w:szCs w:val="24"/>
        </w:rPr>
        <w:t xml:space="preserve"> </w:t>
      </w:r>
    </w:p>
    <w:p w14:paraId="12A80986" w14:textId="77777777" w:rsidR="002A2CCD" w:rsidRPr="00884B8E" w:rsidRDefault="002A2CCD">
      <w:pPr>
        <w:widowControl w:val="0"/>
        <w:pBdr>
          <w:top w:val="nil"/>
          <w:left w:val="nil"/>
          <w:bottom w:val="nil"/>
          <w:right w:val="nil"/>
          <w:between w:val="nil"/>
        </w:pBdr>
        <w:spacing w:before="159" w:after="0" w:line="360" w:lineRule="auto"/>
        <w:ind w:firstLine="719"/>
        <w:jc w:val="both"/>
        <w:rPr>
          <w:rFonts w:ascii="Arial" w:eastAsia="Arial" w:hAnsi="Arial" w:cs="Arial"/>
          <w:color w:val="FF0000"/>
          <w:sz w:val="24"/>
          <w:szCs w:val="24"/>
        </w:rPr>
      </w:pPr>
    </w:p>
    <w:p w14:paraId="538218EB" w14:textId="77777777" w:rsidR="002A2CCD" w:rsidRPr="00884B8E" w:rsidRDefault="00897666">
      <w:pPr>
        <w:widowControl w:val="0"/>
        <w:pBdr>
          <w:top w:val="nil"/>
          <w:left w:val="nil"/>
          <w:bottom w:val="nil"/>
          <w:right w:val="nil"/>
          <w:between w:val="nil"/>
        </w:pBdr>
        <w:spacing w:after="0" w:line="360" w:lineRule="auto"/>
        <w:jc w:val="both"/>
        <w:rPr>
          <w:rFonts w:ascii="Arial" w:eastAsia="Arial" w:hAnsi="Arial" w:cs="Arial"/>
          <w:b/>
          <w:color w:val="000000"/>
          <w:sz w:val="24"/>
          <w:szCs w:val="24"/>
        </w:rPr>
      </w:pPr>
      <w:r w:rsidRPr="00884B8E">
        <w:rPr>
          <w:rFonts w:ascii="Arial" w:eastAsia="Arial" w:hAnsi="Arial" w:cs="Arial"/>
          <w:b/>
          <w:color w:val="000000"/>
          <w:sz w:val="24"/>
          <w:szCs w:val="24"/>
        </w:rPr>
        <w:t>CONSIDERAÇÕES FINAIS</w:t>
      </w:r>
    </w:p>
    <w:p w14:paraId="4102D4E6" w14:textId="77777777" w:rsidR="002A2CCD" w:rsidRPr="00884B8E" w:rsidRDefault="002A2CCD">
      <w:pPr>
        <w:widowControl w:val="0"/>
        <w:pBdr>
          <w:top w:val="nil"/>
          <w:left w:val="nil"/>
          <w:bottom w:val="nil"/>
          <w:right w:val="nil"/>
          <w:between w:val="nil"/>
        </w:pBdr>
        <w:spacing w:after="0" w:line="360" w:lineRule="auto"/>
        <w:jc w:val="both"/>
        <w:rPr>
          <w:rFonts w:ascii="Arial" w:eastAsia="Arial" w:hAnsi="Arial" w:cs="Arial"/>
          <w:b/>
          <w:sz w:val="24"/>
          <w:szCs w:val="24"/>
        </w:rPr>
      </w:pPr>
    </w:p>
    <w:p w14:paraId="684CD8F4" w14:textId="74315C8C" w:rsidR="00F710DD" w:rsidRPr="00884B8E" w:rsidRDefault="00897666">
      <w:pPr>
        <w:widowControl w:val="0"/>
        <w:pBdr>
          <w:top w:val="nil"/>
          <w:left w:val="nil"/>
          <w:bottom w:val="nil"/>
          <w:right w:val="nil"/>
          <w:between w:val="nil"/>
        </w:pBdr>
        <w:spacing w:after="0" w:line="360" w:lineRule="auto"/>
        <w:jc w:val="both"/>
        <w:rPr>
          <w:rFonts w:ascii="Arial" w:eastAsia="Arial" w:hAnsi="Arial" w:cs="Arial"/>
          <w:sz w:val="24"/>
          <w:szCs w:val="24"/>
        </w:rPr>
      </w:pPr>
      <w:r w:rsidRPr="00884B8E">
        <w:rPr>
          <w:rFonts w:ascii="Arial" w:eastAsia="Arial" w:hAnsi="Arial" w:cs="Arial"/>
          <w:sz w:val="24"/>
          <w:szCs w:val="24"/>
        </w:rPr>
        <w:tab/>
        <w:t>Este estudo teve como objetivo compreender a eficácia das candidaturas femininas em um contexto pandêmico</w:t>
      </w:r>
      <w:r w:rsidR="00506497" w:rsidRPr="00884B8E">
        <w:rPr>
          <w:rFonts w:ascii="Arial" w:eastAsia="Arial" w:hAnsi="Arial" w:cs="Arial"/>
          <w:sz w:val="24"/>
          <w:szCs w:val="24"/>
        </w:rPr>
        <w:t xml:space="preserve"> nas eleições municipais de 2020 por meio de um estudo de caso do estado do Piauí.</w:t>
      </w:r>
      <w:r w:rsidRPr="00884B8E">
        <w:rPr>
          <w:rFonts w:ascii="Arial" w:eastAsia="Arial" w:hAnsi="Arial" w:cs="Arial"/>
          <w:sz w:val="24"/>
          <w:szCs w:val="24"/>
        </w:rPr>
        <w:t xml:space="preserve"> </w:t>
      </w:r>
      <w:r w:rsidR="00F710DD" w:rsidRPr="00884B8E">
        <w:rPr>
          <w:rFonts w:ascii="Arial" w:eastAsia="Arial" w:hAnsi="Arial" w:cs="Arial"/>
          <w:sz w:val="24"/>
          <w:szCs w:val="24"/>
        </w:rPr>
        <w:t>O estado do Piauí configura-se como um dos estados com menor representação feminina em cargos políticos</w:t>
      </w:r>
      <w:r w:rsidR="007F5931" w:rsidRPr="00884B8E">
        <w:rPr>
          <w:rFonts w:ascii="Arial" w:eastAsia="Arial" w:hAnsi="Arial" w:cs="Arial"/>
          <w:sz w:val="24"/>
          <w:szCs w:val="24"/>
        </w:rPr>
        <w:t>,</w:t>
      </w:r>
      <w:r w:rsidR="00F710DD" w:rsidRPr="00884B8E">
        <w:rPr>
          <w:rFonts w:ascii="Arial" w:eastAsia="Arial" w:hAnsi="Arial" w:cs="Arial"/>
          <w:sz w:val="24"/>
          <w:szCs w:val="24"/>
        </w:rPr>
        <w:t xml:space="preserve"> observando </w:t>
      </w:r>
      <w:r w:rsidR="00D82A6D" w:rsidRPr="00884B8E">
        <w:rPr>
          <w:rFonts w:ascii="Arial" w:eastAsia="Arial" w:hAnsi="Arial" w:cs="Arial"/>
          <w:sz w:val="24"/>
          <w:szCs w:val="24"/>
        </w:rPr>
        <w:t>todas as esferas políticas</w:t>
      </w:r>
      <w:r w:rsidR="00F710DD" w:rsidRPr="00884B8E">
        <w:rPr>
          <w:rFonts w:ascii="Arial" w:eastAsia="Arial" w:hAnsi="Arial" w:cs="Arial"/>
          <w:sz w:val="24"/>
          <w:szCs w:val="24"/>
        </w:rPr>
        <w:t xml:space="preserve">. </w:t>
      </w:r>
      <w:r w:rsidR="0014712B" w:rsidRPr="00884B8E">
        <w:rPr>
          <w:rFonts w:ascii="Arial" w:eastAsia="Arial" w:hAnsi="Arial" w:cs="Arial"/>
          <w:sz w:val="24"/>
          <w:szCs w:val="24"/>
        </w:rPr>
        <w:t>Dessa forma, é oferecido</w:t>
      </w:r>
      <w:r w:rsidR="00F710DD" w:rsidRPr="00884B8E">
        <w:rPr>
          <w:rFonts w:ascii="Arial" w:eastAsia="Arial" w:hAnsi="Arial" w:cs="Arial"/>
          <w:sz w:val="24"/>
          <w:szCs w:val="24"/>
        </w:rPr>
        <w:t xml:space="preserve"> um cenário específico para estudos sobre desigualdade de gênero, representação política e voto feminino em um contexto municipal que </w:t>
      </w:r>
      <w:r w:rsidR="0014712B" w:rsidRPr="00884B8E">
        <w:rPr>
          <w:rFonts w:ascii="Arial" w:eastAsia="Arial" w:hAnsi="Arial" w:cs="Arial"/>
          <w:sz w:val="24"/>
          <w:szCs w:val="24"/>
        </w:rPr>
        <w:t>proporciona</w:t>
      </w:r>
      <w:r w:rsidR="00F710DD" w:rsidRPr="00884B8E">
        <w:rPr>
          <w:rFonts w:ascii="Arial" w:eastAsia="Arial" w:hAnsi="Arial" w:cs="Arial"/>
          <w:sz w:val="24"/>
          <w:szCs w:val="24"/>
        </w:rPr>
        <w:t xml:space="preserve"> poucos estudos sobre questões de gênero.</w:t>
      </w:r>
    </w:p>
    <w:p w14:paraId="5E7BBE67" w14:textId="3176D516" w:rsidR="00D82A6D" w:rsidRPr="00884B8E" w:rsidRDefault="00F710DD">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r w:rsidRPr="00884B8E">
        <w:rPr>
          <w:rFonts w:ascii="Arial" w:eastAsia="Arial" w:hAnsi="Arial" w:cs="Arial"/>
          <w:sz w:val="24"/>
          <w:szCs w:val="24"/>
        </w:rPr>
        <w:tab/>
      </w:r>
      <w:r w:rsidR="00634F8F" w:rsidRPr="00884B8E">
        <w:rPr>
          <w:rFonts w:ascii="Arial" w:eastAsia="Arial" w:hAnsi="Arial" w:cs="Arial"/>
          <w:sz w:val="24"/>
          <w:szCs w:val="24"/>
        </w:rPr>
        <w:t xml:space="preserve">As eleições municipais de 2020 </w:t>
      </w:r>
      <w:r w:rsidR="007F5931" w:rsidRPr="00884B8E">
        <w:rPr>
          <w:rFonts w:ascii="Arial" w:eastAsia="Arial" w:hAnsi="Arial" w:cs="Arial"/>
          <w:sz w:val="24"/>
          <w:szCs w:val="24"/>
        </w:rPr>
        <w:t>foram</w:t>
      </w:r>
      <w:r w:rsidR="00634F8F" w:rsidRPr="00884B8E">
        <w:rPr>
          <w:rFonts w:ascii="Arial" w:eastAsia="Arial" w:hAnsi="Arial" w:cs="Arial"/>
          <w:sz w:val="24"/>
          <w:szCs w:val="24"/>
        </w:rPr>
        <w:t xml:space="preserve"> as com o maior número de abstenções nas urnas, que pode ter como fator explicativo a pandemia </w:t>
      </w:r>
      <w:r w:rsidR="007F5931" w:rsidRPr="00884B8E">
        <w:rPr>
          <w:rFonts w:ascii="Arial" w:eastAsia="Arial" w:hAnsi="Arial" w:cs="Arial"/>
          <w:sz w:val="24"/>
          <w:szCs w:val="24"/>
        </w:rPr>
        <w:t xml:space="preserve">de </w:t>
      </w:r>
      <w:r w:rsidR="0035498B" w:rsidRPr="00884B8E">
        <w:rPr>
          <w:rFonts w:ascii="Arial" w:eastAsia="Arial" w:hAnsi="Arial" w:cs="Arial"/>
          <w:sz w:val="24"/>
          <w:szCs w:val="24"/>
        </w:rPr>
        <w:t>C</w:t>
      </w:r>
      <w:r w:rsidR="00696C7F" w:rsidRPr="00884B8E">
        <w:rPr>
          <w:rFonts w:ascii="Arial" w:eastAsia="Arial" w:hAnsi="Arial" w:cs="Arial"/>
          <w:sz w:val="24"/>
          <w:szCs w:val="24"/>
        </w:rPr>
        <w:t>ovid</w:t>
      </w:r>
      <w:r w:rsidR="0035498B" w:rsidRPr="00884B8E">
        <w:rPr>
          <w:rFonts w:ascii="Arial" w:eastAsia="Arial" w:hAnsi="Arial" w:cs="Arial"/>
          <w:sz w:val="24"/>
          <w:szCs w:val="24"/>
        </w:rPr>
        <w:t>-19</w:t>
      </w:r>
      <w:r w:rsidR="00634F8F" w:rsidRPr="00884B8E">
        <w:rPr>
          <w:rFonts w:ascii="Arial" w:eastAsia="Arial" w:hAnsi="Arial" w:cs="Arial"/>
          <w:sz w:val="24"/>
          <w:szCs w:val="24"/>
        </w:rPr>
        <w:t xml:space="preserve">. </w:t>
      </w:r>
      <w:r w:rsidR="00634F8F" w:rsidRPr="00884B8E">
        <w:rPr>
          <w:rFonts w:ascii="Arial" w:eastAsia="Arial" w:hAnsi="Arial" w:cs="Arial"/>
          <w:color w:val="000000" w:themeColor="text1"/>
          <w:sz w:val="24"/>
          <w:szCs w:val="24"/>
        </w:rPr>
        <w:t>Verificou-se ainda um recorde muito acima da tendência nas eleições passadas</w:t>
      </w:r>
      <w:r w:rsidR="00F46FB2" w:rsidRPr="00884B8E">
        <w:rPr>
          <w:rFonts w:ascii="Arial" w:eastAsia="Arial" w:hAnsi="Arial" w:cs="Arial"/>
          <w:color w:val="000000" w:themeColor="text1"/>
          <w:sz w:val="24"/>
          <w:szCs w:val="24"/>
        </w:rPr>
        <w:t xml:space="preserve"> no número de abstenções</w:t>
      </w:r>
      <w:r w:rsidR="00696C7F" w:rsidRPr="00884B8E">
        <w:rPr>
          <w:rFonts w:ascii="Arial" w:eastAsia="Arial" w:hAnsi="Arial" w:cs="Arial"/>
          <w:color w:val="000000" w:themeColor="text1"/>
          <w:sz w:val="24"/>
          <w:szCs w:val="24"/>
        </w:rPr>
        <w:t>, contudo, as mulheres permanecem como o público com mais participação nas urnas</w:t>
      </w:r>
      <w:r w:rsidR="00634F8F" w:rsidRPr="00884B8E">
        <w:rPr>
          <w:rFonts w:ascii="Arial" w:eastAsia="Arial" w:hAnsi="Arial" w:cs="Arial"/>
          <w:color w:val="000000" w:themeColor="text1"/>
          <w:sz w:val="24"/>
          <w:szCs w:val="24"/>
        </w:rPr>
        <w:t>.</w:t>
      </w:r>
      <w:r w:rsidR="00F46FB2" w:rsidRPr="00884B8E">
        <w:rPr>
          <w:rFonts w:ascii="Arial" w:eastAsia="Arial" w:hAnsi="Arial" w:cs="Arial"/>
          <w:color w:val="000000" w:themeColor="text1"/>
          <w:sz w:val="24"/>
          <w:szCs w:val="24"/>
        </w:rPr>
        <w:t xml:space="preserve"> </w:t>
      </w:r>
      <w:r w:rsidR="004E2FE4" w:rsidRPr="00884B8E">
        <w:rPr>
          <w:rFonts w:ascii="Arial" w:eastAsia="Arial" w:hAnsi="Arial" w:cs="Arial"/>
          <w:color w:val="000000" w:themeColor="text1"/>
          <w:sz w:val="24"/>
          <w:szCs w:val="24"/>
        </w:rPr>
        <w:t xml:space="preserve">Quanto </w:t>
      </w:r>
      <w:r w:rsidR="007F5931" w:rsidRPr="00884B8E">
        <w:rPr>
          <w:rFonts w:ascii="Arial" w:eastAsia="Arial" w:hAnsi="Arial" w:cs="Arial"/>
          <w:color w:val="000000" w:themeColor="text1"/>
          <w:sz w:val="24"/>
          <w:szCs w:val="24"/>
        </w:rPr>
        <w:t xml:space="preserve">à </w:t>
      </w:r>
      <w:r w:rsidR="004E2FE4" w:rsidRPr="00884B8E">
        <w:rPr>
          <w:rFonts w:ascii="Arial" w:eastAsia="Arial" w:hAnsi="Arial" w:cs="Arial"/>
          <w:color w:val="000000" w:themeColor="text1"/>
          <w:sz w:val="24"/>
          <w:szCs w:val="24"/>
        </w:rPr>
        <w:t xml:space="preserve">efetividade, pode-se afirmar que aconteceu de </w:t>
      </w:r>
      <w:r w:rsidR="007F5931" w:rsidRPr="00884B8E">
        <w:rPr>
          <w:rFonts w:ascii="Arial" w:eastAsia="Arial" w:hAnsi="Arial" w:cs="Arial"/>
          <w:color w:val="000000" w:themeColor="text1"/>
          <w:sz w:val="24"/>
          <w:szCs w:val="24"/>
        </w:rPr>
        <w:t xml:space="preserve">modo </w:t>
      </w:r>
      <w:r w:rsidR="004E2FE4" w:rsidRPr="00884B8E">
        <w:rPr>
          <w:rFonts w:ascii="Arial" w:eastAsia="Arial" w:hAnsi="Arial" w:cs="Arial"/>
          <w:color w:val="000000" w:themeColor="text1"/>
          <w:sz w:val="24"/>
          <w:szCs w:val="24"/>
        </w:rPr>
        <w:t>parcial</w:t>
      </w:r>
      <w:r w:rsidR="00D82A6D" w:rsidRPr="00884B8E">
        <w:rPr>
          <w:rFonts w:ascii="Arial" w:eastAsia="Arial" w:hAnsi="Arial" w:cs="Arial"/>
          <w:color w:val="000000" w:themeColor="text1"/>
          <w:sz w:val="24"/>
          <w:szCs w:val="24"/>
        </w:rPr>
        <w:t>,</w:t>
      </w:r>
      <w:r w:rsidR="00C6715E" w:rsidRPr="00884B8E">
        <w:rPr>
          <w:rFonts w:ascii="Arial" w:eastAsia="Arial" w:hAnsi="Arial" w:cs="Arial"/>
          <w:color w:val="000000" w:themeColor="text1"/>
          <w:sz w:val="24"/>
          <w:szCs w:val="24"/>
        </w:rPr>
        <w:t xml:space="preserve"> mantendo maior participação nas eleições e</w:t>
      </w:r>
      <w:r w:rsidR="004E2FE4" w:rsidRPr="00884B8E">
        <w:rPr>
          <w:rFonts w:ascii="Arial" w:eastAsia="Arial" w:hAnsi="Arial" w:cs="Arial"/>
          <w:color w:val="000000" w:themeColor="text1"/>
          <w:sz w:val="24"/>
          <w:szCs w:val="24"/>
        </w:rPr>
        <w:t xml:space="preserve"> registrando</w:t>
      </w:r>
      <w:r w:rsidR="00D82A6D" w:rsidRPr="00884B8E">
        <w:rPr>
          <w:rFonts w:ascii="Arial" w:eastAsia="Arial" w:hAnsi="Arial" w:cs="Arial"/>
          <w:color w:val="000000" w:themeColor="text1"/>
          <w:sz w:val="24"/>
          <w:szCs w:val="24"/>
        </w:rPr>
        <w:t xml:space="preserve"> apenas</w:t>
      </w:r>
      <w:r w:rsidR="004E2FE4" w:rsidRPr="00884B8E">
        <w:rPr>
          <w:rFonts w:ascii="Arial" w:eastAsia="Arial" w:hAnsi="Arial" w:cs="Arial"/>
          <w:color w:val="000000" w:themeColor="text1"/>
          <w:sz w:val="24"/>
          <w:szCs w:val="24"/>
        </w:rPr>
        <w:t xml:space="preserve"> um número maior nas candidaturas</w:t>
      </w:r>
      <w:r w:rsidR="00D82A6D" w:rsidRPr="00884B8E">
        <w:rPr>
          <w:rFonts w:ascii="Arial" w:eastAsia="Arial" w:hAnsi="Arial" w:cs="Arial"/>
          <w:color w:val="000000" w:themeColor="text1"/>
          <w:sz w:val="24"/>
          <w:szCs w:val="24"/>
        </w:rPr>
        <w:t xml:space="preserve"> femininas.</w:t>
      </w:r>
    </w:p>
    <w:p w14:paraId="24AE5A1E" w14:textId="1880C073" w:rsidR="002A2CCD" w:rsidRPr="00884B8E" w:rsidRDefault="00696C7F">
      <w:pPr>
        <w:widowControl w:val="0"/>
        <w:pBdr>
          <w:top w:val="nil"/>
          <w:left w:val="nil"/>
          <w:bottom w:val="nil"/>
          <w:right w:val="nil"/>
          <w:between w:val="nil"/>
        </w:pBdr>
        <w:spacing w:after="0" w:line="360" w:lineRule="auto"/>
        <w:jc w:val="both"/>
        <w:rPr>
          <w:rFonts w:ascii="Arial" w:eastAsia="Arial" w:hAnsi="Arial" w:cs="Arial"/>
          <w:sz w:val="24"/>
          <w:szCs w:val="24"/>
        </w:rPr>
      </w:pPr>
      <w:r w:rsidRPr="00884B8E">
        <w:rPr>
          <w:rFonts w:ascii="Arial" w:eastAsia="Arial" w:hAnsi="Arial" w:cs="Arial"/>
          <w:color w:val="000000" w:themeColor="text1"/>
          <w:sz w:val="24"/>
          <w:szCs w:val="24"/>
        </w:rPr>
        <w:tab/>
      </w:r>
      <w:r w:rsidR="00897666" w:rsidRPr="00884B8E">
        <w:rPr>
          <w:rFonts w:ascii="Arial" w:eastAsia="Arial" w:hAnsi="Arial" w:cs="Arial"/>
          <w:sz w:val="24"/>
          <w:szCs w:val="24"/>
        </w:rPr>
        <w:t>Os dados examinados no presente artigo indicam</w:t>
      </w:r>
      <w:r w:rsidR="0014712B" w:rsidRPr="00884B8E">
        <w:rPr>
          <w:rFonts w:ascii="Arial" w:eastAsia="Arial" w:hAnsi="Arial" w:cs="Arial"/>
          <w:sz w:val="24"/>
          <w:szCs w:val="24"/>
        </w:rPr>
        <w:t xml:space="preserve"> até</w:t>
      </w:r>
      <w:r w:rsidR="00897666" w:rsidRPr="00884B8E">
        <w:rPr>
          <w:rFonts w:ascii="Arial" w:eastAsia="Arial" w:hAnsi="Arial" w:cs="Arial"/>
          <w:sz w:val="24"/>
          <w:szCs w:val="24"/>
        </w:rPr>
        <w:t xml:space="preserve"> um incremento no número de candidaturas femininas, refletindo um movimento positivo em direção à maior inclusão das mulheres na política. No entanto, a taxa de sucesso eleitoral permanece insatisfatória, </w:t>
      </w:r>
      <w:r w:rsidR="007F5931" w:rsidRPr="00884B8E">
        <w:rPr>
          <w:rFonts w:ascii="Arial" w:eastAsia="Arial" w:hAnsi="Arial" w:cs="Arial"/>
          <w:sz w:val="24"/>
          <w:szCs w:val="24"/>
        </w:rPr>
        <w:t xml:space="preserve">o que </w:t>
      </w:r>
      <w:r w:rsidR="00897666" w:rsidRPr="00884B8E">
        <w:rPr>
          <w:rFonts w:ascii="Arial" w:eastAsia="Arial" w:hAnsi="Arial" w:cs="Arial"/>
          <w:sz w:val="24"/>
          <w:szCs w:val="24"/>
        </w:rPr>
        <w:t xml:space="preserve">demonstra que o aumento quantitativo de candidaturas não se traduz em uma representação proporcional nos cargos eletivos. </w:t>
      </w:r>
      <w:r w:rsidR="007F5931" w:rsidRPr="00884B8E">
        <w:rPr>
          <w:rFonts w:ascii="Arial" w:eastAsia="Arial" w:hAnsi="Arial" w:cs="Arial"/>
          <w:sz w:val="24"/>
          <w:szCs w:val="24"/>
        </w:rPr>
        <w:lastRenderedPageBreak/>
        <w:t xml:space="preserve">Essa </w:t>
      </w:r>
      <w:r w:rsidR="00897666" w:rsidRPr="00884B8E">
        <w:rPr>
          <w:rFonts w:ascii="Arial" w:eastAsia="Arial" w:hAnsi="Arial" w:cs="Arial"/>
          <w:sz w:val="24"/>
          <w:szCs w:val="24"/>
        </w:rPr>
        <w:t>realidade sinaliza a persistência de barreiras estruturais e culturais que limitam a capacidade competitiva das mulheres em condições equitativas.</w:t>
      </w:r>
      <w:r w:rsidR="00506497" w:rsidRPr="00884B8E">
        <w:rPr>
          <w:rFonts w:ascii="Arial" w:eastAsia="Arial" w:hAnsi="Arial" w:cs="Arial"/>
          <w:sz w:val="24"/>
          <w:szCs w:val="24"/>
        </w:rPr>
        <w:t xml:space="preserve"> </w:t>
      </w:r>
    </w:p>
    <w:p w14:paraId="58DC9D41" w14:textId="77777777" w:rsidR="00A16658" w:rsidRPr="00884B8E" w:rsidRDefault="00897666">
      <w:pPr>
        <w:widowControl w:val="0"/>
        <w:pBdr>
          <w:top w:val="nil"/>
          <w:left w:val="nil"/>
          <w:bottom w:val="nil"/>
          <w:right w:val="nil"/>
          <w:between w:val="nil"/>
        </w:pBdr>
        <w:spacing w:after="0" w:line="360" w:lineRule="auto"/>
        <w:jc w:val="both"/>
        <w:rPr>
          <w:rFonts w:ascii="Arial" w:eastAsia="Arial" w:hAnsi="Arial" w:cs="Arial"/>
          <w:sz w:val="24"/>
          <w:szCs w:val="24"/>
        </w:rPr>
      </w:pPr>
      <w:r w:rsidRPr="00884B8E">
        <w:rPr>
          <w:rFonts w:ascii="Arial" w:eastAsia="Arial" w:hAnsi="Arial" w:cs="Arial"/>
          <w:sz w:val="24"/>
          <w:szCs w:val="24"/>
        </w:rPr>
        <w:tab/>
      </w:r>
      <w:r w:rsidR="00D64194" w:rsidRPr="00884B8E">
        <w:rPr>
          <w:rFonts w:ascii="Arial" w:eastAsia="Arial" w:hAnsi="Arial" w:cs="Arial"/>
          <w:sz w:val="24"/>
          <w:szCs w:val="24"/>
        </w:rPr>
        <w:t>Nessa perspectiva</w:t>
      </w:r>
      <w:r w:rsidR="00324680" w:rsidRPr="00884B8E">
        <w:rPr>
          <w:rFonts w:ascii="Arial" w:eastAsia="Arial" w:hAnsi="Arial" w:cs="Arial"/>
          <w:sz w:val="24"/>
          <w:szCs w:val="24"/>
        </w:rPr>
        <w:t>, o aumento na participação feminina não se refletiu em mais mulheres eleitas porque ainda há um descompasso entre a presença nas urnas e o apoio efetivo à eleição de mulheres</w:t>
      </w:r>
      <w:r w:rsidR="003565E1" w:rsidRPr="00884B8E">
        <w:rPr>
          <w:rFonts w:ascii="Arial" w:eastAsia="Arial" w:hAnsi="Arial" w:cs="Arial"/>
          <w:sz w:val="24"/>
          <w:szCs w:val="24"/>
        </w:rPr>
        <w:t>,</w:t>
      </w:r>
      <w:r w:rsidR="005343BB" w:rsidRPr="00884B8E">
        <w:rPr>
          <w:rFonts w:ascii="Arial" w:eastAsia="Arial" w:hAnsi="Arial" w:cs="Arial"/>
          <w:sz w:val="24"/>
          <w:szCs w:val="24"/>
        </w:rPr>
        <w:t xml:space="preserve"> apresenta</w:t>
      </w:r>
      <w:r w:rsidR="003565E1" w:rsidRPr="00884B8E">
        <w:rPr>
          <w:rFonts w:ascii="Arial" w:eastAsia="Arial" w:hAnsi="Arial" w:cs="Arial"/>
          <w:sz w:val="24"/>
          <w:szCs w:val="24"/>
        </w:rPr>
        <w:t>ndo</w:t>
      </w:r>
      <w:r w:rsidR="005343BB" w:rsidRPr="00884B8E">
        <w:rPr>
          <w:rFonts w:ascii="Arial" w:eastAsia="Arial" w:hAnsi="Arial" w:cs="Arial"/>
          <w:sz w:val="24"/>
          <w:szCs w:val="24"/>
        </w:rPr>
        <w:t xml:space="preserve">-se não somente como </w:t>
      </w:r>
      <w:r w:rsidR="003565E1" w:rsidRPr="00884B8E">
        <w:rPr>
          <w:rFonts w:ascii="Arial" w:eastAsia="Arial" w:hAnsi="Arial" w:cs="Arial"/>
          <w:sz w:val="24"/>
          <w:szCs w:val="24"/>
        </w:rPr>
        <w:t>um fenômeno municipal, mas também nacional</w:t>
      </w:r>
      <w:r w:rsidR="00324680" w:rsidRPr="00884B8E">
        <w:rPr>
          <w:rFonts w:ascii="Arial" w:eastAsia="Arial" w:hAnsi="Arial" w:cs="Arial"/>
          <w:sz w:val="24"/>
          <w:szCs w:val="24"/>
        </w:rPr>
        <w:t>. Isso sugere a necessidade de políticas mais robustas que não apenas aumentem o número de candidaturas, mas garantam a equidade nas condições de campanhas e enfrentem as barreiras culturais e institucionais à representatividade feminina.</w:t>
      </w:r>
    </w:p>
    <w:p w14:paraId="5A47A69D" w14:textId="480A5557" w:rsidR="002A2CCD" w:rsidRPr="00884B8E" w:rsidRDefault="00A16658" w:rsidP="000E6698">
      <w:pPr>
        <w:widowControl w:val="0"/>
        <w:pBdr>
          <w:top w:val="nil"/>
          <w:left w:val="nil"/>
          <w:bottom w:val="nil"/>
          <w:right w:val="nil"/>
          <w:between w:val="nil"/>
        </w:pBdr>
        <w:spacing w:after="0" w:line="360" w:lineRule="auto"/>
        <w:jc w:val="both"/>
        <w:rPr>
          <w:rFonts w:ascii="Arial" w:hAnsi="Arial" w:cs="Arial"/>
          <w:sz w:val="24"/>
          <w:szCs w:val="24"/>
        </w:rPr>
      </w:pPr>
      <w:r w:rsidRPr="00884B8E">
        <w:rPr>
          <w:rFonts w:ascii="Arial" w:eastAsia="Arial" w:hAnsi="Arial" w:cs="Arial"/>
          <w:sz w:val="24"/>
          <w:szCs w:val="24"/>
        </w:rPr>
        <w:tab/>
      </w:r>
      <w:r w:rsidR="000E6698" w:rsidRPr="00884B8E">
        <w:rPr>
          <w:rFonts w:ascii="Arial" w:hAnsi="Arial" w:cs="Arial"/>
          <w:sz w:val="24"/>
          <w:szCs w:val="24"/>
        </w:rPr>
        <w:t>É importante ainda registrar que este estudo é feito a partir da análise do estado do Piauí, utilizando como parâmetro de comparação as eleições municipais de 2016 e 2020</w:t>
      </w:r>
      <w:r w:rsidR="00806F08" w:rsidRPr="00884B8E">
        <w:rPr>
          <w:rFonts w:ascii="Arial" w:hAnsi="Arial" w:cs="Arial"/>
          <w:sz w:val="24"/>
          <w:szCs w:val="24"/>
        </w:rPr>
        <w:t>, uma eleição sem e outra com a presença da pandemia para comparações</w:t>
      </w:r>
      <w:r w:rsidR="000E6698" w:rsidRPr="00884B8E">
        <w:rPr>
          <w:rFonts w:ascii="Arial" w:hAnsi="Arial" w:cs="Arial"/>
          <w:sz w:val="24"/>
          <w:szCs w:val="24"/>
        </w:rPr>
        <w:t>. Permite-se, ainda, que essa proposta de pesquisa seja replicada em outros estados para a observação e comparação entre estados e regiões. Embora medidas tenham sido implementadas quanto à participação feminina nas eleições, os resultados não trouxeram efeitos imediatos. Isso não significa que os incentivos não sejam benéficos, mas que existem outros fatores intervenientes que precisam ser observados, passíveis de estudos e observações que não se encerram com esta produção.</w:t>
      </w:r>
    </w:p>
    <w:p w14:paraId="7E68EB54" w14:textId="77777777" w:rsidR="000E6698" w:rsidRPr="00884B8E" w:rsidRDefault="000E6698" w:rsidP="000E6698">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F2E7DA" w14:textId="0DF4C349" w:rsidR="002A2CCD" w:rsidRPr="00884B8E" w:rsidRDefault="00897666">
      <w:pPr>
        <w:widowControl w:val="0"/>
        <w:pBdr>
          <w:top w:val="nil"/>
          <w:left w:val="nil"/>
          <w:bottom w:val="nil"/>
          <w:right w:val="nil"/>
          <w:between w:val="nil"/>
        </w:pBdr>
        <w:spacing w:before="1" w:after="0" w:line="360" w:lineRule="auto"/>
        <w:jc w:val="both"/>
        <w:rPr>
          <w:rFonts w:ascii="Arial" w:eastAsia="Arial" w:hAnsi="Arial" w:cs="Arial"/>
          <w:b/>
          <w:color w:val="000000"/>
          <w:sz w:val="24"/>
          <w:szCs w:val="24"/>
        </w:rPr>
      </w:pPr>
      <w:r w:rsidRPr="00884B8E">
        <w:rPr>
          <w:rFonts w:ascii="Arial" w:eastAsia="Arial" w:hAnsi="Arial" w:cs="Arial"/>
          <w:b/>
          <w:color w:val="000000"/>
          <w:sz w:val="24"/>
          <w:szCs w:val="24"/>
        </w:rPr>
        <w:t xml:space="preserve">REFERÊNCIAS </w:t>
      </w:r>
    </w:p>
    <w:p w14:paraId="01B53E36" w14:textId="77777777" w:rsidR="002A2CCD" w:rsidRPr="00884B8E" w:rsidRDefault="002A2CCD" w:rsidP="00827700">
      <w:pPr>
        <w:widowControl w:val="0"/>
        <w:spacing w:after="0" w:line="360" w:lineRule="auto"/>
        <w:ind w:right="160"/>
        <w:rPr>
          <w:rFonts w:ascii="Arial" w:eastAsia="Arial" w:hAnsi="Arial" w:cs="Arial"/>
          <w:sz w:val="24"/>
          <w:szCs w:val="24"/>
        </w:rPr>
      </w:pPr>
    </w:p>
    <w:p w14:paraId="212050F2" w14:textId="6F7D0236" w:rsidR="002A2CCD" w:rsidRPr="00884B8E" w:rsidRDefault="00897666" w:rsidP="00C670F1">
      <w:pPr>
        <w:widowControl w:val="0"/>
        <w:spacing w:after="0" w:line="240" w:lineRule="auto"/>
        <w:ind w:right="-1"/>
        <w:jc w:val="both"/>
        <w:rPr>
          <w:rFonts w:ascii="Arial" w:eastAsia="Arial" w:hAnsi="Arial" w:cs="Arial"/>
          <w:sz w:val="24"/>
          <w:szCs w:val="24"/>
        </w:rPr>
      </w:pPr>
      <w:r w:rsidRPr="00884B8E">
        <w:rPr>
          <w:rFonts w:ascii="Arial" w:eastAsia="Arial" w:hAnsi="Arial" w:cs="Arial"/>
          <w:sz w:val="24"/>
          <w:szCs w:val="24"/>
        </w:rPr>
        <w:t xml:space="preserve">ALMEIDA, Acir. Eleições </w:t>
      </w:r>
      <w:r w:rsidR="007F5931" w:rsidRPr="00884B8E">
        <w:rPr>
          <w:rFonts w:ascii="Arial" w:eastAsia="Arial" w:hAnsi="Arial" w:cs="Arial"/>
          <w:sz w:val="24"/>
          <w:szCs w:val="24"/>
        </w:rPr>
        <w:t>municipais e a pandemia da Covid-19</w:t>
      </w:r>
      <w:r w:rsidRPr="00884B8E">
        <w:rPr>
          <w:rFonts w:ascii="Arial" w:eastAsia="Arial" w:hAnsi="Arial" w:cs="Arial"/>
          <w:sz w:val="24"/>
          <w:szCs w:val="24"/>
        </w:rPr>
        <w:t xml:space="preserve">: alternativas de ação e possíveis impactos. </w:t>
      </w:r>
      <w:r w:rsidRPr="00884B8E">
        <w:rPr>
          <w:rFonts w:ascii="Arial" w:eastAsia="Arial" w:hAnsi="Arial" w:cs="Arial"/>
          <w:b/>
          <w:bCs/>
          <w:iCs/>
          <w:sz w:val="24"/>
          <w:szCs w:val="24"/>
        </w:rPr>
        <w:t>Boletim de Análise Político-Institucional</w:t>
      </w:r>
      <w:r w:rsidR="007F5931" w:rsidRPr="00884B8E">
        <w:rPr>
          <w:rFonts w:ascii="Arial" w:eastAsia="Arial" w:hAnsi="Arial" w:cs="Arial"/>
          <w:b/>
          <w:bCs/>
          <w:iCs/>
          <w:sz w:val="24"/>
          <w:szCs w:val="24"/>
        </w:rPr>
        <w:t xml:space="preserve">, </w:t>
      </w:r>
      <w:r w:rsidR="00827700" w:rsidRPr="00C670F1">
        <w:rPr>
          <w:rFonts w:ascii="Arial" w:eastAsia="Arial" w:hAnsi="Arial" w:cs="Arial"/>
          <w:iCs/>
          <w:sz w:val="24"/>
          <w:szCs w:val="24"/>
        </w:rPr>
        <w:t>Brasília-DF</w:t>
      </w:r>
      <w:r w:rsidR="007F5931" w:rsidRPr="00884B8E">
        <w:rPr>
          <w:rFonts w:ascii="Arial" w:eastAsia="Arial" w:hAnsi="Arial" w:cs="Arial"/>
          <w:sz w:val="24"/>
          <w:szCs w:val="24"/>
        </w:rPr>
        <w:t xml:space="preserve">, </w:t>
      </w:r>
      <w:r w:rsidRPr="00884B8E">
        <w:rPr>
          <w:rFonts w:ascii="Arial" w:eastAsia="Arial" w:hAnsi="Arial" w:cs="Arial"/>
          <w:sz w:val="24"/>
          <w:szCs w:val="24"/>
        </w:rPr>
        <w:t>n. 25, fev. 2021.</w:t>
      </w:r>
    </w:p>
    <w:p w14:paraId="6FCE2325" w14:textId="5794ED82" w:rsidR="002A2CCD" w:rsidRPr="00884B8E" w:rsidRDefault="00897666" w:rsidP="00C670F1">
      <w:pPr>
        <w:widowControl w:val="0"/>
        <w:spacing w:before="240" w:after="240" w:line="240" w:lineRule="auto"/>
        <w:ind w:right="-1"/>
        <w:jc w:val="both"/>
        <w:rPr>
          <w:rFonts w:ascii="Arial" w:eastAsia="Arial" w:hAnsi="Arial" w:cs="Arial"/>
          <w:sz w:val="24"/>
          <w:szCs w:val="24"/>
        </w:rPr>
      </w:pPr>
      <w:r w:rsidRPr="00884B8E">
        <w:rPr>
          <w:rFonts w:ascii="Arial" w:eastAsia="Arial" w:hAnsi="Arial" w:cs="Arial"/>
          <w:sz w:val="24"/>
          <w:szCs w:val="24"/>
        </w:rPr>
        <w:t xml:space="preserve">ARAÚJO, Clara; RIBEIRO, Laura. Mulheres e a política: desafios para a representação política feminina no Brasil. </w:t>
      </w:r>
      <w:r w:rsidRPr="00884B8E">
        <w:rPr>
          <w:rFonts w:ascii="Arial" w:eastAsia="Arial" w:hAnsi="Arial" w:cs="Arial"/>
          <w:b/>
          <w:bCs/>
          <w:iCs/>
          <w:sz w:val="24"/>
          <w:szCs w:val="24"/>
        </w:rPr>
        <w:t>Revista de Sociologia e Política</w:t>
      </w:r>
      <w:r w:rsidRPr="00884B8E">
        <w:rPr>
          <w:rFonts w:ascii="Arial" w:eastAsia="Arial" w:hAnsi="Arial" w:cs="Arial"/>
          <w:sz w:val="24"/>
          <w:szCs w:val="24"/>
        </w:rPr>
        <w:t xml:space="preserve">, </w:t>
      </w:r>
      <w:r w:rsidR="00C670F1">
        <w:rPr>
          <w:rFonts w:ascii="Arial" w:eastAsia="Arial" w:hAnsi="Arial" w:cs="Arial"/>
          <w:sz w:val="24"/>
          <w:szCs w:val="24"/>
        </w:rPr>
        <w:t>Curitiba-PR</w:t>
      </w:r>
      <w:r w:rsidR="007F5931" w:rsidRPr="00884B8E">
        <w:rPr>
          <w:rFonts w:ascii="Arial" w:eastAsia="Arial" w:hAnsi="Arial" w:cs="Arial"/>
          <w:sz w:val="24"/>
          <w:szCs w:val="24"/>
        </w:rPr>
        <w:t xml:space="preserve">, </w:t>
      </w:r>
      <w:r w:rsidRPr="00884B8E">
        <w:rPr>
          <w:rFonts w:ascii="Arial" w:eastAsia="Arial" w:hAnsi="Arial" w:cs="Arial"/>
          <w:sz w:val="24"/>
          <w:szCs w:val="24"/>
        </w:rPr>
        <w:t>v. 28, n. 74, 2020.</w:t>
      </w:r>
    </w:p>
    <w:p w14:paraId="52274215" w14:textId="5E08A157" w:rsidR="002A2CCD" w:rsidRPr="00884B8E" w:rsidRDefault="00897666" w:rsidP="00C670F1">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BARBERIA, Lorena; CANTARELLI, Letícia. Eleições e pandemia: desafios e adaptações em tempos de </w:t>
      </w:r>
      <w:r w:rsidR="0035498B" w:rsidRPr="00884B8E">
        <w:rPr>
          <w:rFonts w:ascii="Arial" w:eastAsia="Arial" w:hAnsi="Arial" w:cs="Arial"/>
          <w:sz w:val="24"/>
          <w:szCs w:val="24"/>
        </w:rPr>
        <w:t>COVID-19</w:t>
      </w:r>
      <w:r w:rsidRPr="00884B8E">
        <w:rPr>
          <w:rFonts w:ascii="Arial" w:eastAsia="Arial" w:hAnsi="Arial" w:cs="Arial"/>
          <w:sz w:val="24"/>
          <w:szCs w:val="24"/>
        </w:rPr>
        <w:t xml:space="preserve">. </w:t>
      </w:r>
      <w:r w:rsidRPr="00884B8E">
        <w:rPr>
          <w:rFonts w:ascii="Arial" w:eastAsia="Arial" w:hAnsi="Arial" w:cs="Arial"/>
          <w:b/>
          <w:bCs/>
          <w:iCs/>
          <w:sz w:val="24"/>
          <w:szCs w:val="24"/>
        </w:rPr>
        <w:t>Boletim Eleitoral</w:t>
      </w:r>
      <w:r w:rsidRPr="00884B8E">
        <w:rPr>
          <w:rFonts w:ascii="Arial" w:eastAsia="Arial" w:hAnsi="Arial" w:cs="Arial"/>
          <w:sz w:val="24"/>
          <w:szCs w:val="24"/>
        </w:rPr>
        <w:t>,</w:t>
      </w:r>
      <w:r w:rsidR="00C670F1">
        <w:rPr>
          <w:rFonts w:ascii="Arial" w:eastAsia="Arial" w:hAnsi="Arial" w:cs="Arial"/>
          <w:sz w:val="24"/>
          <w:szCs w:val="24"/>
        </w:rPr>
        <w:t xml:space="preserve"> Brasília-DF</w:t>
      </w:r>
      <w:r w:rsidR="007F5931" w:rsidRPr="00884B8E">
        <w:rPr>
          <w:rFonts w:ascii="Arial" w:eastAsia="Arial" w:hAnsi="Arial" w:cs="Arial"/>
          <w:sz w:val="24"/>
          <w:szCs w:val="24"/>
        </w:rPr>
        <w:t xml:space="preserve">, </w:t>
      </w:r>
      <w:r w:rsidRPr="00884B8E">
        <w:rPr>
          <w:rFonts w:ascii="Arial" w:eastAsia="Arial" w:hAnsi="Arial" w:cs="Arial"/>
          <w:sz w:val="24"/>
          <w:szCs w:val="24"/>
        </w:rPr>
        <w:t>2020.</w:t>
      </w:r>
    </w:p>
    <w:p w14:paraId="0FD99CC4" w14:textId="14D37600" w:rsidR="006E3BAF" w:rsidRPr="00884B8E" w:rsidRDefault="00897666" w:rsidP="00C670F1">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BARRETO, Alvaro Augusto de Borba. </w:t>
      </w:r>
      <w:r w:rsidRPr="00C670F1">
        <w:rPr>
          <w:rFonts w:ascii="Arial" w:eastAsia="Arial" w:hAnsi="Arial" w:cs="Arial"/>
          <w:sz w:val="24"/>
          <w:szCs w:val="24"/>
        </w:rPr>
        <w:t>Abstenção, votos brancos e nulos:  os números das eleições de 2020</w:t>
      </w:r>
      <w:r w:rsidRPr="00884B8E">
        <w:rPr>
          <w:rFonts w:ascii="Arial" w:eastAsia="Arial" w:hAnsi="Arial" w:cs="Arial"/>
          <w:sz w:val="24"/>
          <w:szCs w:val="24"/>
        </w:rPr>
        <w:t xml:space="preserve">. </w:t>
      </w:r>
      <w:r w:rsidRPr="00C670F1">
        <w:rPr>
          <w:rFonts w:ascii="Arial" w:eastAsia="Arial" w:hAnsi="Arial" w:cs="Arial"/>
          <w:i/>
          <w:iCs/>
          <w:sz w:val="24"/>
          <w:szCs w:val="24"/>
        </w:rPr>
        <w:t>In</w:t>
      </w:r>
      <w:r w:rsidRPr="00884B8E">
        <w:rPr>
          <w:rFonts w:ascii="Arial" w:eastAsia="Arial" w:hAnsi="Arial" w:cs="Arial"/>
          <w:i/>
          <w:iCs/>
          <w:sz w:val="24"/>
          <w:szCs w:val="24"/>
        </w:rPr>
        <w:t xml:space="preserve">: </w:t>
      </w:r>
      <w:r w:rsidR="007F5931" w:rsidRPr="00C670F1">
        <w:rPr>
          <w:rFonts w:ascii="Arial" w:eastAsia="Arial" w:hAnsi="Arial" w:cs="Arial"/>
          <w:b/>
          <w:bCs/>
          <w:sz w:val="24"/>
          <w:szCs w:val="24"/>
        </w:rPr>
        <w:t xml:space="preserve">Cadernos Adenauer </w:t>
      </w:r>
      <w:r w:rsidRPr="00C670F1">
        <w:rPr>
          <w:rFonts w:ascii="Arial" w:eastAsia="Arial" w:hAnsi="Arial" w:cs="Arial"/>
          <w:b/>
          <w:bCs/>
          <w:sz w:val="24"/>
          <w:szCs w:val="24"/>
        </w:rPr>
        <w:t>XXII</w:t>
      </w:r>
      <w:r w:rsidRPr="00C670F1">
        <w:rPr>
          <w:rFonts w:ascii="Arial" w:eastAsia="Arial" w:hAnsi="Arial" w:cs="Arial"/>
          <w:sz w:val="24"/>
          <w:szCs w:val="24"/>
        </w:rPr>
        <w:t>, nº</w:t>
      </w:r>
      <w:r w:rsidR="007F5931" w:rsidRPr="00884B8E">
        <w:rPr>
          <w:rFonts w:ascii="Arial" w:eastAsia="Arial" w:hAnsi="Arial" w:cs="Arial"/>
          <w:sz w:val="24"/>
          <w:szCs w:val="24"/>
        </w:rPr>
        <w:t xml:space="preserve"> </w:t>
      </w:r>
      <w:r w:rsidRPr="00C670F1">
        <w:rPr>
          <w:rFonts w:ascii="Arial" w:eastAsia="Arial" w:hAnsi="Arial" w:cs="Arial"/>
          <w:sz w:val="24"/>
          <w:szCs w:val="24"/>
        </w:rPr>
        <w:t>1 Impactos das eleições 2020 e da pandemia no Brasil</w:t>
      </w:r>
      <w:r w:rsidR="00CF62F8" w:rsidRPr="00884B8E">
        <w:rPr>
          <w:rFonts w:ascii="Arial" w:eastAsia="Arial" w:hAnsi="Arial" w:cs="Arial"/>
          <w:sz w:val="24"/>
          <w:szCs w:val="24"/>
        </w:rPr>
        <w:t>.</w:t>
      </w:r>
      <w:r w:rsidRPr="00884B8E">
        <w:rPr>
          <w:rFonts w:ascii="Arial" w:eastAsia="Arial" w:hAnsi="Arial" w:cs="Arial"/>
          <w:sz w:val="24"/>
          <w:szCs w:val="24"/>
        </w:rPr>
        <w:t xml:space="preserve"> Rio de Janeiro: Fundação Konrad Adenauer, </w:t>
      </w:r>
      <w:r w:rsidR="006E3BAF" w:rsidRPr="00884B8E">
        <w:rPr>
          <w:rFonts w:ascii="Arial" w:eastAsia="Arial" w:hAnsi="Arial" w:cs="Arial"/>
          <w:sz w:val="24"/>
          <w:szCs w:val="24"/>
        </w:rPr>
        <w:t xml:space="preserve">2021. </w:t>
      </w:r>
      <w:r w:rsidR="007F5931" w:rsidRPr="00884B8E">
        <w:rPr>
          <w:rFonts w:ascii="Arial" w:eastAsia="Arial" w:hAnsi="Arial" w:cs="Arial"/>
          <w:sz w:val="24"/>
          <w:szCs w:val="24"/>
        </w:rPr>
        <w:t>p. 55-88.</w:t>
      </w:r>
    </w:p>
    <w:p w14:paraId="09E8072F" w14:textId="39E68AC0" w:rsidR="002A2CCD" w:rsidRPr="00884B8E" w:rsidRDefault="00897666" w:rsidP="00C670F1">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BRASIL. </w:t>
      </w:r>
      <w:r w:rsidRPr="00884B8E">
        <w:rPr>
          <w:rFonts w:ascii="Arial" w:eastAsia="Arial" w:hAnsi="Arial" w:cs="Arial"/>
          <w:b/>
          <w:bCs/>
          <w:iCs/>
          <w:sz w:val="24"/>
          <w:szCs w:val="24"/>
        </w:rPr>
        <w:t>Lei nº 9.504, de 30 de setembro de 1997</w:t>
      </w:r>
      <w:r w:rsidRPr="00884B8E">
        <w:rPr>
          <w:rFonts w:ascii="Arial" w:eastAsia="Arial" w:hAnsi="Arial" w:cs="Arial"/>
          <w:sz w:val="24"/>
          <w:szCs w:val="24"/>
        </w:rPr>
        <w:t>. Estabelece normas para as eleições. Brasília, 1997.</w:t>
      </w:r>
      <w:r w:rsidR="007F5931" w:rsidRPr="00884B8E">
        <w:rPr>
          <w:rFonts w:ascii="Arial" w:eastAsia="Arial" w:hAnsi="Arial" w:cs="Arial"/>
          <w:sz w:val="24"/>
          <w:szCs w:val="24"/>
        </w:rPr>
        <w:t xml:space="preserve"> Disponível em: </w:t>
      </w:r>
      <w:r w:rsidR="007F5931" w:rsidRPr="00C670F1">
        <w:rPr>
          <w:rFonts w:ascii="Arial" w:eastAsia="Arial" w:hAnsi="Arial" w:cs="Arial"/>
          <w:sz w:val="24"/>
          <w:szCs w:val="24"/>
        </w:rPr>
        <w:t>L9504</w:t>
      </w:r>
      <w:r w:rsidR="007F5931" w:rsidRPr="00884B8E">
        <w:rPr>
          <w:rFonts w:ascii="Arial" w:eastAsia="Arial" w:hAnsi="Arial" w:cs="Arial"/>
          <w:sz w:val="24"/>
          <w:szCs w:val="24"/>
        </w:rPr>
        <w:t xml:space="preserve">. Acesso em: 14 nov. 2024. </w:t>
      </w:r>
    </w:p>
    <w:p w14:paraId="25684C40" w14:textId="6BCF538D" w:rsidR="002A2CCD" w:rsidRPr="00884B8E" w:rsidRDefault="00897666" w:rsidP="004F1F2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BRASIL. </w:t>
      </w:r>
      <w:r w:rsidRPr="00884B8E">
        <w:rPr>
          <w:rFonts w:ascii="Arial" w:eastAsia="Arial" w:hAnsi="Arial" w:cs="Arial"/>
          <w:b/>
          <w:bCs/>
          <w:iCs/>
          <w:sz w:val="24"/>
          <w:szCs w:val="24"/>
        </w:rPr>
        <w:t>Emenda Constitucional nº 97, de 4 de outubro de 2017</w:t>
      </w:r>
      <w:r w:rsidRPr="00884B8E">
        <w:rPr>
          <w:rFonts w:ascii="Arial" w:eastAsia="Arial" w:hAnsi="Arial" w:cs="Arial"/>
          <w:sz w:val="24"/>
          <w:szCs w:val="24"/>
        </w:rPr>
        <w:t xml:space="preserve">. Altera a </w:t>
      </w:r>
      <w:r w:rsidRPr="00884B8E">
        <w:rPr>
          <w:rFonts w:ascii="Arial" w:eastAsia="Arial" w:hAnsi="Arial" w:cs="Arial"/>
          <w:sz w:val="24"/>
          <w:szCs w:val="24"/>
        </w:rPr>
        <w:lastRenderedPageBreak/>
        <w:t>Constituição Federal para dispor sobre coligações e cláusula de desempenho. Brasília, 2017.</w:t>
      </w:r>
      <w:r w:rsidR="00264A19" w:rsidRPr="00C670F1">
        <w:rPr>
          <w:rFonts w:ascii="Arial" w:hAnsi="Arial" w:cs="Arial"/>
        </w:rPr>
        <w:t xml:space="preserve"> Disponível em: </w:t>
      </w:r>
      <w:r w:rsidR="00264A19" w:rsidRPr="00C670F1">
        <w:rPr>
          <w:rFonts w:ascii="Arial" w:eastAsia="Arial" w:hAnsi="Arial" w:cs="Arial"/>
          <w:sz w:val="24"/>
          <w:szCs w:val="24"/>
        </w:rPr>
        <w:t>Emenda Constitucional nº 97</w:t>
      </w:r>
      <w:r w:rsidR="00264A19" w:rsidRPr="00884B8E">
        <w:rPr>
          <w:rFonts w:ascii="Arial" w:eastAsia="Arial" w:hAnsi="Arial" w:cs="Arial"/>
          <w:sz w:val="24"/>
          <w:szCs w:val="24"/>
        </w:rPr>
        <w:t xml:space="preserve">. Acesso em: 14 nov. 2024. </w:t>
      </w:r>
    </w:p>
    <w:p w14:paraId="561D49A5" w14:textId="254FEA53" w:rsidR="002A2CCD" w:rsidRPr="00884B8E" w:rsidRDefault="00897666" w:rsidP="004F1F2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CUNHA, Eleonora </w:t>
      </w:r>
      <w:r w:rsidRPr="004F1F26">
        <w:rPr>
          <w:rFonts w:ascii="Arial" w:eastAsia="Arial" w:hAnsi="Arial" w:cs="Arial"/>
          <w:i/>
          <w:iCs/>
          <w:sz w:val="24"/>
          <w:szCs w:val="24"/>
        </w:rPr>
        <w:t>et al.</w:t>
      </w:r>
      <w:r w:rsidRPr="00884B8E">
        <w:rPr>
          <w:rFonts w:ascii="Arial" w:eastAsia="Arial" w:hAnsi="Arial" w:cs="Arial"/>
          <w:sz w:val="24"/>
          <w:szCs w:val="24"/>
        </w:rPr>
        <w:t xml:space="preserve"> Pandemia, gênero e política: impactos da </w:t>
      </w:r>
      <w:r w:rsidR="0035498B" w:rsidRPr="00884B8E">
        <w:rPr>
          <w:rFonts w:ascii="Arial" w:eastAsia="Arial" w:hAnsi="Arial" w:cs="Arial"/>
          <w:sz w:val="24"/>
          <w:szCs w:val="24"/>
        </w:rPr>
        <w:t>COVID-19</w:t>
      </w:r>
      <w:r w:rsidRPr="00884B8E">
        <w:rPr>
          <w:rFonts w:ascii="Arial" w:eastAsia="Arial" w:hAnsi="Arial" w:cs="Arial"/>
          <w:sz w:val="24"/>
          <w:szCs w:val="24"/>
        </w:rPr>
        <w:t xml:space="preserve"> na participação política das mulheres. </w:t>
      </w:r>
      <w:r w:rsidRPr="00884B8E">
        <w:rPr>
          <w:rFonts w:ascii="Arial" w:eastAsia="Arial" w:hAnsi="Arial" w:cs="Arial"/>
          <w:b/>
          <w:bCs/>
          <w:iCs/>
          <w:sz w:val="24"/>
          <w:szCs w:val="24"/>
        </w:rPr>
        <w:t>Revista Brasileira de Política e Administração Pública</w:t>
      </w:r>
      <w:r w:rsidRPr="00884B8E">
        <w:rPr>
          <w:rFonts w:ascii="Arial" w:eastAsia="Arial" w:hAnsi="Arial" w:cs="Arial"/>
          <w:sz w:val="24"/>
          <w:szCs w:val="24"/>
        </w:rPr>
        <w:t xml:space="preserve">, </w:t>
      </w:r>
      <w:r w:rsidR="00C670F1">
        <w:rPr>
          <w:rFonts w:ascii="Arial" w:eastAsia="Arial" w:hAnsi="Arial" w:cs="Arial"/>
          <w:sz w:val="24"/>
          <w:szCs w:val="24"/>
        </w:rPr>
        <w:t>Salvador-BA</w:t>
      </w:r>
      <w:r w:rsidR="00264A19" w:rsidRPr="00884B8E">
        <w:rPr>
          <w:rFonts w:ascii="Arial" w:eastAsia="Arial" w:hAnsi="Arial" w:cs="Arial"/>
          <w:sz w:val="24"/>
          <w:szCs w:val="24"/>
        </w:rPr>
        <w:t xml:space="preserve">, </w:t>
      </w:r>
      <w:r w:rsidRPr="00884B8E">
        <w:rPr>
          <w:rFonts w:ascii="Arial" w:eastAsia="Arial" w:hAnsi="Arial" w:cs="Arial"/>
          <w:sz w:val="24"/>
          <w:szCs w:val="24"/>
        </w:rPr>
        <w:t>v. 2, n. 1, 2021.</w:t>
      </w:r>
    </w:p>
    <w:p w14:paraId="3C9F1AA7" w14:textId="273D1A39" w:rsidR="002A2CCD" w:rsidRPr="00884B8E" w:rsidRDefault="00897666" w:rsidP="004F1F26">
      <w:pPr>
        <w:widowControl w:val="0"/>
        <w:spacing w:before="240" w:after="240" w:line="240" w:lineRule="auto"/>
        <w:jc w:val="both"/>
        <w:rPr>
          <w:rFonts w:ascii="Arial" w:eastAsia="Arial" w:hAnsi="Arial" w:cs="Arial"/>
          <w:sz w:val="24"/>
          <w:szCs w:val="24"/>
        </w:rPr>
      </w:pPr>
      <w:r w:rsidRPr="004F1F26">
        <w:rPr>
          <w:rFonts w:ascii="Arial" w:eastAsia="Arial" w:hAnsi="Arial" w:cs="Arial"/>
          <w:sz w:val="24"/>
          <w:szCs w:val="24"/>
          <w:lang w:val="en-US"/>
        </w:rPr>
        <w:t xml:space="preserve">GALLAGHER, Michael; MARSDEN, Peter. </w:t>
      </w:r>
      <w:r w:rsidRPr="00884B8E">
        <w:rPr>
          <w:rFonts w:ascii="Arial" w:eastAsia="Arial" w:hAnsi="Arial" w:cs="Arial"/>
          <w:b/>
          <w:bCs/>
          <w:iCs/>
          <w:sz w:val="24"/>
          <w:szCs w:val="24"/>
          <w:lang w:val="en-US"/>
        </w:rPr>
        <w:t>Digital campaigns and democracy</w:t>
      </w:r>
      <w:r w:rsidRPr="004F1F26">
        <w:rPr>
          <w:rFonts w:ascii="Arial" w:eastAsia="Arial" w:hAnsi="Arial" w:cs="Arial"/>
          <w:iCs/>
          <w:sz w:val="24"/>
          <w:szCs w:val="24"/>
          <w:lang w:val="en-US"/>
        </w:rPr>
        <w:t xml:space="preserve">: </w:t>
      </w:r>
      <w:r w:rsidR="00264A19" w:rsidRPr="00884B8E">
        <w:rPr>
          <w:rFonts w:ascii="Arial" w:eastAsia="Arial" w:hAnsi="Arial" w:cs="Arial"/>
          <w:iCs/>
          <w:sz w:val="24"/>
          <w:szCs w:val="24"/>
          <w:lang w:val="en-US"/>
        </w:rPr>
        <w:t>a</w:t>
      </w:r>
      <w:r w:rsidR="00264A19" w:rsidRPr="004F1F26">
        <w:rPr>
          <w:rFonts w:ascii="Arial" w:eastAsia="Arial" w:hAnsi="Arial" w:cs="Arial"/>
          <w:iCs/>
          <w:sz w:val="24"/>
          <w:szCs w:val="24"/>
          <w:lang w:val="en-US"/>
        </w:rPr>
        <w:t xml:space="preserve"> </w:t>
      </w:r>
      <w:r w:rsidRPr="004F1F26">
        <w:rPr>
          <w:rFonts w:ascii="Arial" w:eastAsia="Arial" w:hAnsi="Arial" w:cs="Arial"/>
          <w:iCs/>
          <w:sz w:val="24"/>
          <w:szCs w:val="24"/>
          <w:lang w:val="en-US"/>
        </w:rPr>
        <w:t>critical perspective</w:t>
      </w:r>
      <w:r w:rsidRPr="00884B8E">
        <w:rPr>
          <w:rFonts w:ascii="Arial" w:eastAsia="Arial" w:hAnsi="Arial" w:cs="Arial"/>
          <w:sz w:val="24"/>
          <w:szCs w:val="24"/>
          <w:lang w:val="en-US"/>
        </w:rPr>
        <w:t xml:space="preserve">. </w:t>
      </w:r>
      <w:r w:rsidRPr="00884B8E">
        <w:rPr>
          <w:rFonts w:ascii="Arial" w:eastAsia="Arial" w:hAnsi="Arial" w:cs="Arial"/>
          <w:sz w:val="24"/>
          <w:szCs w:val="24"/>
        </w:rPr>
        <w:t>Oxford: Oxford University Press, 2020.</w:t>
      </w:r>
    </w:p>
    <w:p w14:paraId="3ECE5F18" w14:textId="157CE100" w:rsidR="002A2CCD" w:rsidRPr="00884B8E" w:rsidRDefault="00897666" w:rsidP="004F1F26">
      <w:pPr>
        <w:widowControl w:val="0"/>
        <w:spacing w:after="0" w:line="240" w:lineRule="auto"/>
        <w:ind w:right="-1"/>
        <w:jc w:val="both"/>
        <w:rPr>
          <w:rFonts w:ascii="Arial" w:eastAsia="Arial" w:hAnsi="Arial" w:cs="Arial"/>
          <w:sz w:val="24"/>
          <w:szCs w:val="24"/>
        </w:rPr>
      </w:pPr>
      <w:r w:rsidRPr="00884B8E">
        <w:rPr>
          <w:rFonts w:ascii="Arial" w:eastAsia="Arial" w:hAnsi="Arial" w:cs="Arial"/>
          <w:sz w:val="24"/>
          <w:szCs w:val="24"/>
        </w:rPr>
        <w:t xml:space="preserve">GORTARI, Amanda dos Santos Neves. A podridão da candidatura laranja: ponderações acerca da participação feminina nas eleições brasileiras. </w:t>
      </w:r>
      <w:r w:rsidRPr="00884B8E">
        <w:rPr>
          <w:rFonts w:ascii="Arial" w:eastAsia="Arial" w:hAnsi="Arial" w:cs="Arial"/>
          <w:b/>
          <w:bCs/>
          <w:iCs/>
          <w:sz w:val="24"/>
          <w:szCs w:val="24"/>
        </w:rPr>
        <w:t>Est. Eleit</w:t>
      </w:r>
      <w:r w:rsidRPr="00884B8E">
        <w:rPr>
          <w:rFonts w:ascii="Arial" w:eastAsia="Arial" w:hAnsi="Arial" w:cs="Arial"/>
          <w:sz w:val="24"/>
          <w:szCs w:val="24"/>
        </w:rPr>
        <w:t>., Brasília</w:t>
      </w:r>
      <w:r w:rsidR="004F1F26">
        <w:rPr>
          <w:rFonts w:ascii="Arial" w:eastAsia="Arial" w:hAnsi="Arial" w:cs="Arial"/>
          <w:sz w:val="24"/>
          <w:szCs w:val="24"/>
        </w:rPr>
        <w:t>-</w:t>
      </w:r>
      <w:r w:rsidRPr="00884B8E">
        <w:rPr>
          <w:rFonts w:ascii="Arial" w:eastAsia="Arial" w:hAnsi="Arial" w:cs="Arial"/>
          <w:sz w:val="24"/>
          <w:szCs w:val="24"/>
        </w:rPr>
        <w:t>DF, v. 14, n. 1, Edição especial, p. 8-285, jan./abr. 2020.</w:t>
      </w:r>
    </w:p>
    <w:p w14:paraId="0E23012D" w14:textId="77777777" w:rsidR="002A2CCD" w:rsidRPr="00884B8E" w:rsidRDefault="002A2CCD" w:rsidP="00827700">
      <w:pPr>
        <w:widowControl w:val="0"/>
        <w:spacing w:after="0" w:line="240" w:lineRule="auto"/>
        <w:ind w:right="180"/>
        <w:rPr>
          <w:rFonts w:ascii="Arial" w:eastAsia="Arial" w:hAnsi="Arial" w:cs="Arial"/>
          <w:sz w:val="24"/>
          <w:szCs w:val="24"/>
        </w:rPr>
      </w:pPr>
    </w:p>
    <w:p w14:paraId="6FF0CC93" w14:textId="5B354174" w:rsidR="002A2CCD" w:rsidRPr="00884B8E" w:rsidRDefault="00897666" w:rsidP="004F1F26">
      <w:pPr>
        <w:spacing w:line="240" w:lineRule="auto"/>
        <w:jc w:val="both"/>
        <w:rPr>
          <w:rFonts w:ascii="Arial" w:eastAsia="Arial" w:hAnsi="Arial" w:cs="Arial"/>
          <w:sz w:val="24"/>
          <w:szCs w:val="24"/>
          <w:lang w:val="en-US"/>
        </w:rPr>
      </w:pPr>
      <w:r w:rsidRPr="00884B8E">
        <w:rPr>
          <w:rFonts w:ascii="Arial" w:eastAsia="Arial" w:hAnsi="Arial" w:cs="Arial"/>
          <w:sz w:val="24"/>
          <w:szCs w:val="24"/>
        </w:rPr>
        <w:t xml:space="preserve">IBGE. </w:t>
      </w:r>
      <w:r w:rsidRPr="00884B8E">
        <w:rPr>
          <w:rFonts w:ascii="Arial" w:eastAsia="Arial" w:hAnsi="Arial" w:cs="Arial"/>
          <w:b/>
          <w:bCs/>
          <w:iCs/>
          <w:sz w:val="24"/>
          <w:szCs w:val="24"/>
        </w:rPr>
        <w:t xml:space="preserve">Criando sinergias entre a Agenda 2030 para o desenvolvimento sustentável e o </w:t>
      </w:r>
      <w:r w:rsidRPr="004F1F26">
        <w:rPr>
          <w:rFonts w:ascii="Arial" w:eastAsia="Arial" w:hAnsi="Arial" w:cs="Arial"/>
          <w:iCs/>
          <w:sz w:val="24"/>
          <w:szCs w:val="24"/>
        </w:rPr>
        <w:t>G20: caderno desigualdades: primeiras análises</w:t>
      </w:r>
      <w:r w:rsidRPr="00884B8E">
        <w:rPr>
          <w:rFonts w:ascii="Arial" w:eastAsia="Arial" w:hAnsi="Arial" w:cs="Arial"/>
          <w:sz w:val="24"/>
          <w:szCs w:val="24"/>
        </w:rPr>
        <w:t xml:space="preserve">. Coleção Ibgeana: Rio de Janeiro, 23p. 2024. Disponível em: https://biblioteca.ibge.gov.br/index.php/bibliotecacatalogo?view=detalhes&amp;id=2102080. </w:t>
      </w:r>
      <w:r w:rsidRPr="00884B8E">
        <w:rPr>
          <w:rFonts w:ascii="Arial" w:eastAsia="Arial" w:hAnsi="Arial" w:cs="Arial"/>
          <w:sz w:val="24"/>
          <w:szCs w:val="24"/>
          <w:lang w:val="en-US"/>
        </w:rPr>
        <w:t>Acesso em: 18 mai</w:t>
      </w:r>
      <w:r w:rsidR="00264A19" w:rsidRPr="00884B8E">
        <w:rPr>
          <w:rFonts w:ascii="Arial" w:eastAsia="Arial" w:hAnsi="Arial" w:cs="Arial"/>
          <w:sz w:val="24"/>
          <w:szCs w:val="24"/>
          <w:lang w:val="en-US"/>
        </w:rPr>
        <w:t>o</w:t>
      </w:r>
      <w:r w:rsidRPr="00884B8E">
        <w:rPr>
          <w:rFonts w:ascii="Arial" w:eastAsia="Arial" w:hAnsi="Arial" w:cs="Arial"/>
          <w:sz w:val="24"/>
          <w:szCs w:val="24"/>
          <w:lang w:val="en-US"/>
        </w:rPr>
        <w:t xml:space="preserve"> 2024.</w:t>
      </w:r>
    </w:p>
    <w:p w14:paraId="03E50A35" w14:textId="77777777" w:rsidR="002A2CCD" w:rsidRPr="00884B8E" w:rsidRDefault="00897666" w:rsidP="004F1F2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KROOK, Mona Lena. </w:t>
      </w:r>
      <w:r w:rsidRPr="00884B8E">
        <w:rPr>
          <w:rFonts w:ascii="Arial" w:eastAsia="Arial" w:hAnsi="Arial" w:cs="Arial"/>
          <w:b/>
          <w:bCs/>
          <w:iCs/>
          <w:sz w:val="24"/>
          <w:szCs w:val="24"/>
          <w:lang w:val="en-US"/>
        </w:rPr>
        <w:t>Violence against Women in Politics</w:t>
      </w:r>
      <w:r w:rsidRPr="00884B8E">
        <w:rPr>
          <w:rFonts w:ascii="Arial" w:eastAsia="Arial" w:hAnsi="Arial" w:cs="Arial"/>
          <w:sz w:val="24"/>
          <w:szCs w:val="24"/>
          <w:lang w:val="en-US"/>
        </w:rPr>
        <w:t>. New York: Oxford University Press, 2020.</w:t>
      </w:r>
    </w:p>
    <w:p w14:paraId="04C54ED3" w14:textId="07AA5322" w:rsidR="002A2CCD" w:rsidRPr="00884B8E" w:rsidRDefault="00897666" w:rsidP="004F1F2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KROOK, Mona Lena; SANÍN, Juliana R. The cost of doing </w:t>
      </w:r>
      <w:proofErr w:type="gramStart"/>
      <w:r w:rsidRPr="00884B8E">
        <w:rPr>
          <w:rFonts w:ascii="Arial" w:eastAsia="Arial" w:hAnsi="Arial" w:cs="Arial"/>
          <w:sz w:val="24"/>
          <w:szCs w:val="24"/>
          <w:lang w:val="en-US"/>
        </w:rPr>
        <w:t>politics?</w:t>
      </w:r>
      <w:proofErr w:type="gramEnd"/>
      <w:r w:rsidRPr="00884B8E">
        <w:rPr>
          <w:rFonts w:ascii="Arial" w:eastAsia="Arial" w:hAnsi="Arial" w:cs="Arial"/>
          <w:sz w:val="24"/>
          <w:szCs w:val="24"/>
          <w:lang w:val="en-US"/>
        </w:rPr>
        <w:t xml:space="preserve"> Analyzing violence and harassment against female politicians. </w:t>
      </w:r>
      <w:r w:rsidRPr="00884B8E">
        <w:rPr>
          <w:rFonts w:ascii="Arial" w:eastAsia="Arial" w:hAnsi="Arial" w:cs="Arial"/>
          <w:b/>
          <w:bCs/>
          <w:iCs/>
          <w:sz w:val="24"/>
          <w:szCs w:val="24"/>
          <w:lang w:val="en-US"/>
        </w:rPr>
        <w:t>Perspectives on Politics</w:t>
      </w:r>
      <w:r w:rsidRPr="00884B8E">
        <w:rPr>
          <w:rFonts w:ascii="Arial" w:eastAsia="Arial" w:hAnsi="Arial" w:cs="Arial"/>
          <w:sz w:val="24"/>
          <w:szCs w:val="24"/>
          <w:lang w:val="en-US"/>
        </w:rPr>
        <w:t xml:space="preserve">, </w:t>
      </w:r>
      <w:r w:rsidR="004F1F26">
        <w:rPr>
          <w:rFonts w:ascii="Arial" w:eastAsia="Arial" w:hAnsi="Arial" w:cs="Arial"/>
          <w:sz w:val="24"/>
          <w:szCs w:val="24"/>
          <w:lang w:val="en-US"/>
        </w:rPr>
        <w:t>Londres</w:t>
      </w:r>
      <w:r w:rsidR="00264A19" w:rsidRPr="00884B8E">
        <w:rPr>
          <w:rFonts w:ascii="Arial" w:eastAsia="Arial" w:hAnsi="Arial" w:cs="Arial"/>
          <w:sz w:val="24"/>
          <w:szCs w:val="24"/>
          <w:lang w:val="en-US"/>
        </w:rPr>
        <w:t xml:space="preserve">, </w:t>
      </w:r>
      <w:r w:rsidRPr="00884B8E">
        <w:rPr>
          <w:rFonts w:ascii="Arial" w:eastAsia="Arial" w:hAnsi="Arial" w:cs="Arial"/>
          <w:sz w:val="24"/>
          <w:szCs w:val="24"/>
          <w:lang w:val="en-US"/>
        </w:rPr>
        <w:t>v. 18, n. 3, 2020.</w:t>
      </w:r>
    </w:p>
    <w:p w14:paraId="206DB7A4" w14:textId="77777777" w:rsidR="002A2CCD" w:rsidRPr="00884B8E" w:rsidRDefault="00897666" w:rsidP="004F1F26">
      <w:pPr>
        <w:spacing w:after="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LIJPHART, Arend. </w:t>
      </w:r>
      <w:r w:rsidRPr="00884B8E">
        <w:rPr>
          <w:rFonts w:ascii="Arial" w:eastAsia="Arial" w:hAnsi="Arial" w:cs="Arial"/>
          <w:b/>
          <w:bCs/>
          <w:sz w:val="24"/>
          <w:szCs w:val="24"/>
          <w:lang w:val="en-US"/>
        </w:rPr>
        <w:t>Patterns of democracy</w:t>
      </w:r>
      <w:r w:rsidRPr="00884B8E">
        <w:rPr>
          <w:rFonts w:ascii="Arial" w:eastAsia="Arial" w:hAnsi="Arial" w:cs="Arial"/>
          <w:sz w:val="24"/>
          <w:szCs w:val="24"/>
          <w:lang w:val="en-US"/>
        </w:rPr>
        <w:t xml:space="preserve">. New Haven: Yale University Press, 1999. </w:t>
      </w:r>
    </w:p>
    <w:p w14:paraId="2C2AD0E4" w14:textId="77777777" w:rsidR="002A2CCD" w:rsidRPr="00884B8E" w:rsidRDefault="002A2CCD" w:rsidP="004F1F26">
      <w:pPr>
        <w:spacing w:after="0" w:line="240" w:lineRule="auto"/>
        <w:jc w:val="both"/>
        <w:rPr>
          <w:rFonts w:ascii="Arial" w:eastAsia="Arial" w:hAnsi="Arial" w:cs="Arial"/>
          <w:sz w:val="24"/>
          <w:szCs w:val="24"/>
          <w:lang w:val="en-US"/>
        </w:rPr>
      </w:pPr>
    </w:p>
    <w:p w14:paraId="019C8B28" w14:textId="77777777" w:rsidR="002A2CCD" w:rsidRPr="00884B8E" w:rsidRDefault="00897666" w:rsidP="004F1F26">
      <w:pPr>
        <w:spacing w:after="0" w:line="240" w:lineRule="auto"/>
        <w:jc w:val="both"/>
        <w:rPr>
          <w:rFonts w:ascii="Arial" w:eastAsia="Arial" w:hAnsi="Arial" w:cs="Arial"/>
          <w:sz w:val="24"/>
          <w:szCs w:val="24"/>
        </w:rPr>
      </w:pPr>
      <w:r w:rsidRPr="00884B8E">
        <w:rPr>
          <w:rFonts w:ascii="Arial" w:eastAsia="Arial" w:hAnsi="Arial" w:cs="Arial"/>
          <w:sz w:val="24"/>
          <w:szCs w:val="24"/>
        </w:rPr>
        <w:t xml:space="preserve">LIJPHART, Arend. </w:t>
      </w:r>
      <w:r w:rsidRPr="004F1F26">
        <w:rPr>
          <w:rFonts w:ascii="Arial" w:eastAsia="Arial" w:hAnsi="Arial" w:cs="Arial"/>
          <w:b/>
          <w:bCs/>
          <w:sz w:val="24"/>
          <w:szCs w:val="24"/>
        </w:rPr>
        <w:t>Modelos de democracia</w:t>
      </w:r>
      <w:r w:rsidRPr="00884B8E">
        <w:rPr>
          <w:rFonts w:ascii="Arial" w:eastAsia="Arial" w:hAnsi="Arial" w:cs="Arial"/>
          <w:sz w:val="24"/>
          <w:szCs w:val="24"/>
        </w:rPr>
        <w:t xml:space="preserve">: desempenho e padrões de governo em 36 países. Rio de Janeiro: </w:t>
      </w:r>
      <w:r w:rsidRPr="004F1F26">
        <w:rPr>
          <w:rFonts w:ascii="Arial" w:eastAsia="Arial" w:hAnsi="Arial" w:cs="Arial"/>
          <w:sz w:val="24"/>
          <w:szCs w:val="24"/>
        </w:rPr>
        <w:t>Ed. Civilização Brasileira</w:t>
      </w:r>
      <w:r w:rsidRPr="00884B8E">
        <w:rPr>
          <w:rFonts w:ascii="Arial" w:eastAsia="Arial" w:hAnsi="Arial" w:cs="Arial"/>
          <w:sz w:val="24"/>
          <w:szCs w:val="24"/>
        </w:rPr>
        <w:t>, 2003.</w:t>
      </w:r>
    </w:p>
    <w:p w14:paraId="6EC79F69" w14:textId="5E69E48D" w:rsidR="006E3BAF" w:rsidRPr="00884B8E" w:rsidRDefault="006E3BAF" w:rsidP="004F1F2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MARRENCO, André; CATE, Lidia Ten. </w:t>
      </w:r>
      <w:r w:rsidRPr="004F1F26">
        <w:rPr>
          <w:rFonts w:ascii="Arial" w:eastAsia="Arial" w:hAnsi="Arial" w:cs="Arial"/>
          <w:sz w:val="24"/>
          <w:szCs w:val="24"/>
        </w:rPr>
        <w:t>Votos, partidos e pandemia: o que os resultados de 2020 projetam para o futuro?</w:t>
      </w:r>
      <w:r w:rsidRPr="00884B8E">
        <w:rPr>
          <w:rFonts w:ascii="Arial" w:eastAsia="Arial" w:hAnsi="Arial" w:cs="Arial"/>
          <w:sz w:val="24"/>
          <w:szCs w:val="24"/>
        </w:rPr>
        <w:t xml:space="preserve"> </w:t>
      </w:r>
      <w:r w:rsidRPr="00884B8E">
        <w:rPr>
          <w:rFonts w:ascii="Arial" w:eastAsia="Arial" w:hAnsi="Arial" w:cs="Arial"/>
          <w:i/>
          <w:iCs/>
          <w:sz w:val="24"/>
          <w:szCs w:val="24"/>
        </w:rPr>
        <w:t>In</w:t>
      </w:r>
      <w:r w:rsidRPr="004F1F26">
        <w:rPr>
          <w:rFonts w:ascii="Arial" w:eastAsia="Arial" w:hAnsi="Arial" w:cs="Arial"/>
          <w:sz w:val="24"/>
          <w:szCs w:val="24"/>
        </w:rPr>
        <w:t xml:space="preserve">: </w:t>
      </w:r>
      <w:r w:rsidR="00264A19" w:rsidRPr="004F1F26">
        <w:rPr>
          <w:rFonts w:ascii="Arial" w:eastAsia="Arial" w:hAnsi="Arial" w:cs="Arial"/>
          <w:b/>
          <w:bCs/>
          <w:sz w:val="24"/>
          <w:szCs w:val="24"/>
        </w:rPr>
        <w:t>Cadernos Adenauer</w:t>
      </w:r>
      <w:r w:rsidR="00264A19" w:rsidRPr="00884B8E">
        <w:rPr>
          <w:rFonts w:ascii="Arial" w:eastAsia="Arial" w:hAnsi="Arial" w:cs="Arial"/>
          <w:sz w:val="24"/>
          <w:szCs w:val="24"/>
        </w:rPr>
        <w:t xml:space="preserve"> </w:t>
      </w:r>
      <w:r w:rsidRPr="004F1F26">
        <w:rPr>
          <w:rFonts w:ascii="Arial" w:eastAsia="Arial" w:hAnsi="Arial" w:cs="Arial"/>
          <w:sz w:val="24"/>
          <w:szCs w:val="24"/>
        </w:rPr>
        <w:t>XXII, nº</w:t>
      </w:r>
      <w:r w:rsidR="00264A19" w:rsidRPr="00884B8E">
        <w:rPr>
          <w:rFonts w:ascii="Arial" w:eastAsia="Arial" w:hAnsi="Arial" w:cs="Arial"/>
          <w:sz w:val="24"/>
          <w:szCs w:val="24"/>
        </w:rPr>
        <w:t xml:space="preserve"> </w:t>
      </w:r>
      <w:r w:rsidRPr="004F1F26">
        <w:rPr>
          <w:rFonts w:ascii="Arial" w:eastAsia="Arial" w:hAnsi="Arial" w:cs="Arial"/>
          <w:sz w:val="24"/>
          <w:szCs w:val="24"/>
        </w:rPr>
        <w:t>1</w:t>
      </w:r>
      <w:r w:rsidRPr="00884B8E">
        <w:rPr>
          <w:rFonts w:ascii="Arial" w:eastAsia="Arial" w:hAnsi="Arial" w:cs="Arial"/>
          <w:i/>
          <w:iCs/>
          <w:sz w:val="24"/>
          <w:szCs w:val="24"/>
        </w:rPr>
        <w:t xml:space="preserve"> </w:t>
      </w:r>
      <w:r w:rsidRPr="004F1F26">
        <w:rPr>
          <w:rFonts w:ascii="Arial" w:eastAsia="Arial" w:hAnsi="Arial" w:cs="Arial"/>
          <w:sz w:val="24"/>
          <w:szCs w:val="24"/>
        </w:rPr>
        <w:t>Impactos das eleições 2020 e da pandemia no Brasil</w:t>
      </w:r>
      <w:r w:rsidR="00CF62F8" w:rsidRPr="004F1F26">
        <w:rPr>
          <w:rFonts w:ascii="Arial" w:eastAsia="Arial" w:hAnsi="Arial" w:cs="Arial"/>
          <w:sz w:val="24"/>
          <w:szCs w:val="24"/>
        </w:rPr>
        <w:t>.</w:t>
      </w:r>
      <w:r w:rsidRPr="00884B8E">
        <w:rPr>
          <w:rFonts w:ascii="Arial" w:eastAsia="Arial" w:hAnsi="Arial" w:cs="Arial"/>
          <w:sz w:val="24"/>
          <w:szCs w:val="24"/>
        </w:rPr>
        <w:t xml:space="preserve"> Rio de Janeiro: Fundação Konrad Adenauer, 2021.</w:t>
      </w:r>
      <w:r w:rsidR="00264A19" w:rsidRPr="00884B8E">
        <w:rPr>
          <w:rFonts w:ascii="Arial" w:eastAsia="Arial" w:hAnsi="Arial" w:cs="Arial"/>
          <w:sz w:val="24"/>
          <w:szCs w:val="24"/>
        </w:rPr>
        <w:t xml:space="preserve"> p. 25-38.</w:t>
      </w:r>
    </w:p>
    <w:p w14:paraId="412DFE06" w14:textId="5F978BBA" w:rsidR="002A2CCD" w:rsidRPr="00884B8E" w:rsidRDefault="00897666" w:rsidP="004F1F26">
      <w:pPr>
        <w:spacing w:after="0" w:line="240" w:lineRule="auto"/>
        <w:jc w:val="both"/>
        <w:rPr>
          <w:rFonts w:ascii="Arial" w:eastAsia="Arial" w:hAnsi="Arial" w:cs="Arial"/>
          <w:sz w:val="24"/>
          <w:szCs w:val="24"/>
          <w:lang w:val="en-US"/>
        </w:rPr>
      </w:pPr>
      <w:r w:rsidRPr="00884B8E">
        <w:rPr>
          <w:rFonts w:ascii="Arial" w:eastAsia="Arial" w:hAnsi="Arial" w:cs="Arial"/>
          <w:sz w:val="24"/>
          <w:szCs w:val="24"/>
        </w:rPr>
        <w:t xml:space="preserve">MOISÉS, José Alvaro; SANCHEZ, Beatriz Rodrigues. </w:t>
      </w:r>
      <w:r w:rsidRPr="00884B8E">
        <w:rPr>
          <w:rFonts w:ascii="Arial" w:eastAsia="Arial" w:hAnsi="Arial" w:cs="Arial"/>
          <w:b/>
          <w:bCs/>
          <w:iCs/>
          <w:sz w:val="24"/>
          <w:szCs w:val="24"/>
        </w:rPr>
        <w:t>Representação política das mulheres e qualidade da democracia</w:t>
      </w:r>
      <w:r w:rsidRPr="004F1F26">
        <w:rPr>
          <w:rFonts w:ascii="Arial" w:eastAsia="Arial" w:hAnsi="Arial" w:cs="Arial"/>
          <w:iCs/>
          <w:sz w:val="24"/>
          <w:szCs w:val="24"/>
        </w:rPr>
        <w:t>: o caso do Brasil</w:t>
      </w:r>
      <w:r w:rsidRPr="00884B8E">
        <w:rPr>
          <w:rFonts w:ascii="Arial" w:eastAsia="Arial" w:hAnsi="Arial" w:cs="Arial"/>
          <w:i/>
          <w:sz w:val="24"/>
          <w:szCs w:val="24"/>
        </w:rPr>
        <w:t>.</w:t>
      </w:r>
      <w:r w:rsidRPr="00884B8E">
        <w:rPr>
          <w:rFonts w:ascii="Arial" w:eastAsia="Arial" w:hAnsi="Arial" w:cs="Arial"/>
          <w:sz w:val="24"/>
          <w:szCs w:val="24"/>
        </w:rPr>
        <w:t xml:space="preserve"> O Congresso Nacional, os partidos políticos e o sistema de integridade: representação, participação e controle institucional no Brasil contemporâneo. </w:t>
      </w:r>
      <w:r w:rsidRPr="00884B8E">
        <w:rPr>
          <w:rFonts w:ascii="Arial" w:eastAsia="Arial" w:hAnsi="Arial" w:cs="Arial"/>
          <w:sz w:val="24"/>
          <w:szCs w:val="24"/>
          <w:lang w:val="en-US"/>
        </w:rPr>
        <w:t>Tradução. Rio de Janeiro: Konrad-Adenauer-Stiftung, 2014.</w:t>
      </w:r>
    </w:p>
    <w:p w14:paraId="1C76FCBB" w14:textId="14897221" w:rsidR="002A2CCD" w:rsidRPr="00884B8E" w:rsidRDefault="00897666" w:rsidP="00F2437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MURRAY, Rainbow. Gendered electoral institutions and women's representation. </w:t>
      </w:r>
      <w:r w:rsidRPr="00884B8E">
        <w:rPr>
          <w:rFonts w:ascii="Arial" w:eastAsia="Arial" w:hAnsi="Arial" w:cs="Arial"/>
          <w:b/>
          <w:bCs/>
          <w:iCs/>
          <w:sz w:val="24"/>
          <w:szCs w:val="24"/>
          <w:lang w:val="en-US"/>
        </w:rPr>
        <w:t>Politics &amp; Gender</w:t>
      </w:r>
      <w:r w:rsidRPr="00884B8E">
        <w:rPr>
          <w:rFonts w:ascii="Arial" w:eastAsia="Arial" w:hAnsi="Arial" w:cs="Arial"/>
          <w:sz w:val="24"/>
          <w:szCs w:val="24"/>
          <w:lang w:val="en-US"/>
        </w:rPr>
        <w:t xml:space="preserve">, </w:t>
      </w:r>
      <w:r w:rsidR="004F1F26">
        <w:rPr>
          <w:rFonts w:ascii="Arial" w:eastAsia="Arial" w:hAnsi="Arial" w:cs="Arial"/>
          <w:sz w:val="24"/>
          <w:szCs w:val="24"/>
          <w:lang w:val="en-US"/>
        </w:rPr>
        <w:t>Nem York</w:t>
      </w:r>
      <w:r w:rsidR="00264A19" w:rsidRPr="00884B8E">
        <w:rPr>
          <w:rFonts w:ascii="Arial" w:eastAsia="Arial" w:hAnsi="Arial" w:cs="Arial"/>
          <w:sz w:val="24"/>
          <w:szCs w:val="24"/>
          <w:lang w:val="en-US"/>
        </w:rPr>
        <w:t xml:space="preserve">, </w:t>
      </w:r>
      <w:r w:rsidRPr="00884B8E">
        <w:rPr>
          <w:rFonts w:ascii="Arial" w:eastAsia="Arial" w:hAnsi="Arial" w:cs="Arial"/>
          <w:sz w:val="24"/>
          <w:szCs w:val="24"/>
          <w:lang w:val="en-US"/>
        </w:rPr>
        <w:t>v. 16, n. 2, 2020.</w:t>
      </w:r>
    </w:p>
    <w:p w14:paraId="1BCA4F87" w14:textId="0609A7B1" w:rsidR="002A2CCD" w:rsidRPr="00884B8E" w:rsidRDefault="00897666" w:rsidP="00F2437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NORRIS, Pippa. Electoral integrity in the </w:t>
      </w:r>
      <w:r w:rsidR="0035498B" w:rsidRPr="00884B8E">
        <w:rPr>
          <w:rFonts w:ascii="Arial" w:eastAsia="Arial" w:hAnsi="Arial" w:cs="Arial"/>
          <w:sz w:val="24"/>
          <w:szCs w:val="24"/>
          <w:lang w:val="en-US"/>
        </w:rPr>
        <w:t>COVID-19</w:t>
      </w:r>
      <w:r w:rsidRPr="00884B8E">
        <w:rPr>
          <w:rFonts w:ascii="Arial" w:eastAsia="Arial" w:hAnsi="Arial" w:cs="Arial"/>
          <w:sz w:val="24"/>
          <w:szCs w:val="24"/>
          <w:lang w:val="en-US"/>
        </w:rPr>
        <w:t xml:space="preserve"> era</w:t>
      </w:r>
      <w:r w:rsidRPr="00CE6682">
        <w:rPr>
          <w:rFonts w:ascii="Arial" w:eastAsia="Arial" w:hAnsi="Arial" w:cs="Arial"/>
          <w:sz w:val="24"/>
          <w:szCs w:val="24"/>
          <w:lang w:val="en-US"/>
        </w:rPr>
        <w:t>.</w:t>
      </w:r>
      <w:r w:rsidRPr="00CE6682">
        <w:rPr>
          <w:rFonts w:ascii="Arial" w:eastAsia="Arial" w:hAnsi="Arial" w:cs="Arial"/>
          <w:b/>
          <w:bCs/>
          <w:sz w:val="24"/>
          <w:szCs w:val="24"/>
          <w:lang w:val="en-US"/>
        </w:rPr>
        <w:t xml:space="preserve"> Journal of Democracy</w:t>
      </w:r>
      <w:r w:rsidRPr="00884B8E">
        <w:rPr>
          <w:rFonts w:ascii="Arial" w:eastAsia="Arial" w:hAnsi="Arial" w:cs="Arial"/>
          <w:sz w:val="24"/>
          <w:szCs w:val="24"/>
          <w:lang w:val="en-US"/>
        </w:rPr>
        <w:t xml:space="preserve">, </w:t>
      </w:r>
      <w:r w:rsidR="004F1F26">
        <w:rPr>
          <w:rFonts w:ascii="Arial" w:eastAsia="Arial" w:hAnsi="Arial" w:cs="Arial"/>
          <w:sz w:val="24"/>
          <w:szCs w:val="24"/>
          <w:lang w:val="en-US"/>
        </w:rPr>
        <w:t>New York</w:t>
      </w:r>
      <w:r w:rsidR="00264A19" w:rsidRPr="00884B8E">
        <w:rPr>
          <w:rFonts w:ascii="Arial" w:eastAsia="Arial" w:hAnsi="Arial" w:cs="Arial"/>
          <w:sz w:val="24"/>
          <w:szCs w:val="24"/>
          <w:lang w:val="en-US"/>
        </w:rPr>
        <w:t xml:space="preserve">, </w:t>
      </w:r>
      <w:r w:rsidRPr="00884B8E">
        <w:rPr>
          <w:rFonts w:ascii="Arial" w:eastAsia="Arial" w:hAnsi="Arial" w:cs="Arial"/>
          <w:sz w:val="24"/>
          <w:szCs w:val="24"/>
          <w:lang w:val="en-US"/>
        </w:rPr>
        <w:t>v. 31, n. 4, 2020.</w:t>
      </w:r>
    </w:p>
    <w:p w14:paraId="3B59AD5C" w14:textId="77777777" w:rsidR="002A2CCD" w:rsidRPr="00884B8E" w:rsidRDefault="00897666" w:rsidP="00F24376">
      <w:pPr>
        <w:spacing w:after="0" w:line="36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PHILLIPS, Anne. </w:t>
      </w:r>
      <w:r w:rsidRPr="00884B8E">
        <w:rPr>
          <w:rFonts w:ascii="Arial" w:eastAsia="Arial" w:hAnsi="Arial" w:cs="Arial"/>
          <w:b/>
          <w:bCs/>
          <w:iCs/>
          <w:sz w:val="24"/>
          <w:szCs w:val="24"/>
          <w:lang w:val="en-US"/>
        </w:rPr>
        <w:t>The Politics of Presence</w:t>
      </w:r>
      <w:r w:rsidRPr="00884B8E">
        <w:rPr>
          <w:rFonts w:ascii="Arial" w:eastAsia="Arial" w:hAnsi="Arial" w:cs="Arial"/>
          <w:i/>
          <w:sz w:val="24"/>
          <w:szCs w:val="24"/>
          <w:lang w:val="en-US"/>
        </w:rPr>
        <w:t>.</w:t>
      </w:r>
      <w:r w:rsidRPr="00884B8E">
        <w:rPr>
          <w:rFonts w:ascii="Arial" w:eastAsia="Arial" w:hAnsi="Arial" w:cs="Arial"/>
          <w:sz w:val="24"/>
          <w:szCs w:val="24"/>
          <w:lang w:val="en-US"/>
        </w:rPr>
        <w:t xml:space="preserve"> Oxford: Oxford University Press, 1995.</w:t>
      </w:r>
    </w:p>
    <w:p w14:paraId="7A5C688D" w14:textId="44FDC35A" w:rsidR="002A2CCD" w:rsidRPr="00884B8E" w:rsidRDefault="00897666" w:rsidP="00F2437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lang w:val="en-US"/>
        </w:rPr>
        <w:lastRenderedPageBreak/>
        <w:t xml:space="preserve">PISCOPO, Jennifer M. The limits of leaning </w:t>
      </w:r>
      <w:proofErr w:type="gramStart"/>
      <w:r w:rsidRPr="00884B8E">
        <w:rPr>
          <w:rFonts w:ascii="Arial" w:eastAsia="Arial" w:hAnsi="Arial" w:cs="Arial"/>
          <w:sz w:val="24"/>
          <w:szCs w:val="24"/>
          <w:lang w:val="en-US"/>
        </w:rPr>
        <w:t>in:</w:t>
      </w:r>
      <w:proofErr w:type="gramEnd"/>
      <w:r w:rsidRPr="00884B8E">
        <w:rPr>
          <w:rFonts w:ascii="Arial" w:eastAsia="Arial" w:hAnsi="Arial" w:cs="Arial"/>
          <w:sz w:val="24"/>
          <w:szCs w:val="24"/>
          <w:lang w:val="en-US"/>
        </w:rPr>
        <w:t xml:space="preserve"> ambition, recruitment, and candidate training in comparative perspective. “The limits of leaning </w:t>
      </w:r>
      <w:proofErr w:type="gramStart"/>
      <w:r w:rsidRPr="00884B8E">
        <w:rPr>
          <w:rFonts w:ascii="Arial" w:eastAsia="Arial" w:hAnsi="Arial" w:cs="Arial"/>
          <w:sz w:val="24"/>
          <w:szCs w:val="24"/>
          <w:lang w:val="en-US"/>
        </w:rPr>
        <w:t>in:</w:t>
      </w:r>
      <w:proofErr w:type="gramEnd"/>
      <w:r w:rsidRPr="00884B8E">
        <w:rPr>
          <w:rFonts w:ascii="Arial" w:eastAsia="Arial" w:hAnsi="Arial" w:cs="Arial"/>
          <w:sz w:val="24"/>
          <w:szCs w:val="24"/>
          <w:lang w:val="en-US"/>
        </w:rPr>
        <w:t xml:space="preserve"> ambition, recruitment, and candidate training ...”. </w:t>
      </w:r>
      <w:r w:rsidRPr="00884B8E">
        <w:rPr>
          <w:rFonts w:ascii="Arial" w:eastAsia="Arial" w:hAnsi="Arial" w:cs="Arial"/>
          <w:b/>
          <w:bCs/>
          <w:iCs/>
          <w:sz w:val="24"/>
          <w:szCs w:val="24"/>
        </w:rPr>
        <w:t>Politics, Groups, and Identities</w:t>
      </w:r>
      <w:r w:rsidRPr="00884B8E">
        <w:rPr>
          <w:rFonts w:ascii="Arial" w:eastAsia="Arial" w:hAnsi="Arial" w:cs="Arial"/>
          <w:sz w:val="24"/>
          <w:szCs w:val="24"/>
        </w:rPr>
        <w:t xml:space="preserve">, </w:t>
      </w:r>
      <w:r w:rsidR="00CE6682">
        <w:rPr>
          <w:rFonts w:ascii="Arial" w:eastAsia="Arial" w:hAnsi="Arial" w:cs="Arial"/>
          <w:sz w:val="24"/>
          <w:szCs w:val="24"/>
        </w:rPr>
        <w:t>Santa Cruz</w:t>
      </w:r>
      <w:r w:rsidR="00264A19" w:rsidRPr="00884B8E">
        <w:rPr>
          <w:rFonts w:ascii="Arial" w:eastAsia="Arial" w:hAnsi="Arial" w:cs="Arial"/>
          <w:sz w:val="24"/>
          <w:szCs w:val="24"/>
        </w:rPr>
        <w:t xml:space="preserve">, </w:t>
      </w:r>
      <w:r w:rsidRPr="00884B8E">
        <w:rPr>
          <w:rFonts w:ascii="Arial" w:eastAsia="Arial" w:hAnsi="Arial" w:cs="Arial"/>
          <w:sz w:val="24"/>
          <w:szCs w:val="24"/>
        </w:rPr>
        <w:t>v. 7, n. 4, 2019.</w:t>
      </w:r>
    </w:p>
    <w:p w14:paraId="4623EA06" w14:textId="10FB1CF4" w:rsidR="002A2CCD" w:rsidRPr="00884B8E" w:rsidRDefault="00897666" w:rsidP="00F2437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RIOS, Flavia Rios; PAZ Huri. </w:t>
      </w:r>
      <w:r w:rsidRPr="00CE6682">
        <w:rPr>
          <w:rFonts w:ascii="Arial" w:eastAsia="Arial" w:hAnsi="Arial" w:cs="Arial"/>
          <w:sz w:val="24"/>
          <w:szCs w:val="24"/>
        </w:rPr>
        <w:t xml:space="preserve">Representação </w:t>
      </w:r>
      <w:r w:rsidR="00264A19" w:rsidRPr="00CE6682">
        <w:rPr>
          <w:rFonts w:ascii="Arial" w:eastAsia="Arial" w:hAnsi="Arial" w:cs="Arial"/>
          <w:sz w:val="24"/>
          <w:szCs w:val="24"/>
        </w:rPr>
        <w:t xml:space="preserve">política </w:t>
      </w:r>
      <w:r w:rsidRPr="00CE6682">
        <w:rPr>
          <w:rFonts w:ascii="Arial" w:eastAsia="Arial" w:hAnsi="Arial" w:cs="Arial"/>
          <w:sz w:val="24"/>
          <w:szCs w:val="24"/>
        </w:rPr>
        <w:t xml:space="preserve">nas cidades brasileiras:  </w:t>
      </w:r>
      <w:r w:rsidR="00264A19" w:rsidRPr="00884B8E">
        <w:rPr>
          <w:rFonts w:ascii="Arial" w:eastAsia="Arial" w:hAnsi="Arial" w:cs="Arial"/>
          <w:sz w:val="24"/>
          <w:szCs w:val="24"/>
        </w:rPr>
        <w:t>g</w:t>
      </w:r>
      <w:r w:rsidR="00264A19" w:rsidRPr="00CE6682">
        <w:rPr>
          <w:rFonts w:ascii="Arial" w:eastAsia="Arial" w:hAnsi="Arial" w:cs="Arial"/>
          <w:sz w:val="24"/>
          <w:szCs w:val="24"/>
        </w:rPr>
        <w:t>ênero</w:t>
      </w:r>
      <w:r w:rsidRPr="00CE6682">
        <w:rPr>
          <w:rFonts w:ascii="Arial" w:eastAsia="Arial" w:hAnsi="Arial" w:cs="Arial"/>
          <w:sz w:val="24"/>
          <w:szCs w:val="24"/>
        </w:rPr>
        <w:t xml:space="preserve">, </w:t>
      </w:r>
      <w:r w:rsidR="00264A19" w:rsidRPr="00884B8E">
        <w:rPr>
          <w:rFonts w:ascii="Arial" w:eastAsia="Arial" w:hAnsi="Arial" w:cs="Arial"/>
          <w:sz w:val="24"/>
          <w:szCs w:val="24"/>
        </w:rPr>
        <w:t>r</w:t>
      </w:r>
      <w:r w:rsidR="00264A19" w:rsidRPr="00CE6682">
        <w:rPr>
          <w:rFonts w:ascii="Arial" w:eastAsia="Arial" w:hAnsi="Arial" w:cs="Arial"/>
          <w:sz w:val="24"/>
          <w:szCs w:val="24"/>
        </w:rPr>
        <w:t xml:space="preserve">aça </w:t>
      </w:r>
      <w:r w:rsidRPr="00CE6682">
        <w:rPr>
          <w:rFonts w:ascii="Arial" w:eastAsia="Arial" w:hAnsi="Arial" w:cs="Arial"/>
          <w:sz w:val="24"/>
          <w:szCs w:val="24"/>
        </w:rPr>
        <w:t xml:space="preserve">e </w:t>
      </w:r>
      <w:r w:rsidR="00264A19" w:rsidRPr="00884B8E">
        <w:rPr>
          <w:rFonts w:ascii="Arial" w:eastAsia="Arial" w:hAnsi="Arial" w:cs="Arial"/>
          <w:sz w:val="24"/>
          <w:szCs w:val="24"/>
        </w:rPr>
        <w:t>e</w:t>
      </w:r>
      <w:r w:rsidR="00264A19" w:rsidRPr="00CE6682">
        <w:rPr>
          <w:rFonts w:ascii="Arial" w:eastAsia="Arial" w:hAnsi="Arial" w:cs="Arial"/>
          <w:sz w:val="24"/>
          <w:szCs w:val="24"/>
        </w:rPr>
        <w:t xml:space="preserve">tnicidade </w:t>
      </w:r>
      <w:r w:rsidRPr="00CE6682">
        <w:rPr>
          <w:rFonts w:ascii="Arial" w:eastAsia="Arial" w:hAnsi="Arial" w:cs="Arial"/>
          <w:sz w:val="24"/>
          <w:szCs w:val="24"/>
        </w:rPr>
        <w:t>nas eleições de 2020</w:t>
      </w:r>
      <w:r w:rsidRPr="00884B8E">
        <w:rPr>
          <w:rFonts w:ascii="Arial" w:eastAsia="Arial" w:hAnsi="Arial" w:cs="Arial"/>
          <w:sz w:val="24"/>
          <w:szCs w:val="24"/>
        </w:rPr>
        <w:t xml:space="preserve">. </w:t>
      </w:r>
      <w:r w:rsidRPr="00884B8E">
        <w:rPr>
          <w:rFonts w:ascii="Arial" w:eastAsia="Arial" w:hAnsi="Arial" w:cs="Arial"/>
          <w:i/>
          <w:iCs/>
          <w:sz w:val="24"/>
          <w:szCs w:val="24"/>
        </w:rPr>
        <w:t xml:space="preserve">In: </w:t>
      </w:r>
      <w:r w:rsidR="00264A19" w:rsidRPr="00CE6682">
        <w:rPr>
          <w:rFonts w:ascii="Arial" w:eastAsia="Arial" w:hAnsi="Arial" w:cs="Arial"/>
          <w:b/>
          <w:bCs/>
          <w:sz w:val="24"/>
          <w:szCs w:val="24"/>
        </w:rPr>
        <w:t>Cadernos Adenauer</w:t>
      </w:r>
      <w:r w:rsidR="00264A19" w:rsidRPr="00884B8E">
        <w:rPr>
          <w:rFonts w:ascii="Arial" w:eastAsia="Arial" w:hAnsi="Arial" w:cs="Arial"/>
          <w:sz w:val="24"/>
          <w:szCs w:val="24"/>
        </w:rPr>
        <w:t xml:space="preserve"> </w:t>
      </w:r>
      <w:r w:rsidRPr="00CE6682">
        <w:rPr>
          <w:rFonts w:ascii="Arial" w:eastAsia="Arial" w:hAnsi="Arial" w:cs="Arial"/>
          <w:sz w:val="24"/>
          <w:szCs w:val="24"/>
        </w:rPr>
        <w:t>XXII, nº1 Impactos das eleições 2020 e da pandemia no Brasil</w:t>
      </w:r>
      <w:r w:rsidR="00CF62F8" w:rsidRPr="00884B8E">
        <w:rPr>
          <w:rFonts w:ascii="Arial" w:eastAsia="Arial" w:hAnsi="Arial" w:cs="Arial"/>
          <w:sz w:val="24"/>
          <w:szCs w:val="24"/>
        </w:rPr>
        <w:t>.</w:t>
      </w:r>
      <w:r w:rsidRPr="00884B8E">
        <w:rPr>
          <w:rFonts w:ascii="Arial" w:eastAsia="Arial" w:hAnsi="Arial" w:cs="Arial"/>
          <w:sz w:val="24"/>
          <w:szCs w:val="24"/>
        </w:rPr>
        <w:t xml:space="preserve"> Rio de Janeiro: Fundação Konrad Adenauer, </w:t>
      </w:r>
      <w:r w:rsidR="006E3BAF" w:rsidRPr="00884B8E">
        <w:rPr>
          <w:rFonts w:ascii="Arial" w:eastAsia="Arial" w:hAnsi="Arial" w:cs="Arial"/>
          <w:sz w:val="24"/>
          <w:szCs w:val="24"/>
        </w:rPr>
        <w:t>2021.</w:t>
      </w:r>
      <w:r w:rsidR="00264A19" w:rsidRPr="00884B8E">
        <w:rPr>
          <w:rFonts w:ascii="Arial" w:eastAsia="Arial" w:hAnsi="Arial" w:cs="Arial"/>
          <w:sz w:val="24"/>
          <w:szCs w:val="24"/>
        </w:rPr>
        <w:t xml:space="preserve"> p. 89-99.</w:t>
      </w:r>
    </w:p>
    <w:p w14:paraId="6AD5CB4F" w14:textId="499A0671" w:rsidR="002A2CCD" w:rsidRPr="00884B8E" w:rsidRDefault="00897666" w:rsidP="00F2437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rPr>
        <w:t>SACCHET, Teresa. Mulheres na política: avanços e desafios</w:t>
      </w:r>
      <w:r w:rsidRPr="00CE6682">
        <w:rPr>
          <w:rFonts w:ascii="Arial" w:eastAsia="Arial" w:hAnsi="Arial" w:cs="Arial"/>
          <w:sz w:val="24"/>
          <w:szCs w:val="24"/>
        </w:rPr>
        <w:t xml:space="preserve">. </w:t>
      </w:r>
      <w:r w:rsidRPr="00CE6682">
        <w:rPr>
          <w:rFonts w:ascii="Arial" w:eastAsia="Arial" w:hAnsi="Arial" w:cs="Arial"/>
          <w:b/>
          <w:bCs/>
          <w:sz w:val="24"/>
          <w:szCs w:val="24"/>
          <w:lang w:val="en-US"/>
        </w:rPr>
        <w:t>Cadernos Pagu</w:t>
      </w:r>
      <w:r w:rsidRPr="00884B8E">
        <w:rPr>
          <w:rFonts w:ascii="Arial" w:eastAsia="Arial" w:hAnsi="Arial" w:cs="Arial"/>
          <w:sz w:val="24"/>
          <w:szCs w:val="24"/>
          <w:lang w:val="en-US"/>
        </w:rPr>
        <w:t xml:space="preserve">, </w:t>
      </w:r>
      <w:r w:rsidR="00CE6682">
        <w:rPr>
          <w:rFonts w:ascii="Arial" w:eastAsia="Arial" w:hAnsi="Arial" w:cs="Arial"/>
          <w:sz w:val="24"/>
          <w:szCs w:val="24"/>
          <w:lang w:val="en-US"/>
        </w:rPr>
        <w:t>São Paulo-SP</w:t>
      </w:r>
      <w:r w:rsidR="00264A19" w:rsidRPr="00884B8E">
        <w:rPr>
          <w:rFonts w:ascii="Arial" w:eastAsia="Arial" w:hAnsi="Arial" w:cs="Arial"/>
          <w:sz w:val="24"/>
          <w:szCs w:val="24"/>
          <w:lang w:val="en-US"/>
        </w:rPr>
        <w:t xml:space="preserve">, </w:t>
      </w:r>
      <w:r w:rsidRPr="00884B8E">
        <w:rPr>
          <w:rFonts w:ascii="Arial" w:eastAsia="Arial" w:hAnsi="Arial" w:cs="Arial"/>
          <w:sz w:val="24"/>
          <w:szCs w:val="24"/>
          <w:lang w:val="en-US"/>
        </w:rPr>
        <w:t>n. 52, 2018.</w:t>
      </w:r>
    </w:p>
    <w:p w14:paraId="26E57B74" w14:textId="4F534C29" w:rsidR="002A2CCD" w:rsidRPr="00884B8E" w:rsidRDefault="00897666" w:rsidP="00F2437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SCHMITT, Carly. Electoral reforms and their effects on party systems in Latin America. </w:t>
      </w:r>
      <w:r w:rsidRPr="00884B8E">
        <w:rPr>
          <w:rFonts w:ascii="Arial" w:eastAsia="Arial" w:hAnsi="Arial" w:cs="Arial"/>
          <w:b/>
          <w:bCs/>
          <w:iCs/>
          <w:sz w:val="24"/>
          <w:szCs w:val="24"/>
          <w:lang w:val="en-US"/>
        </w:rPr>
        <w:t>Journal of Politics in Latin America</w:t>
      </w:r>
      <w:r w:rsidRPr="00884B8E">
        <w:rPr>
          <w:rFonts w:ascii="Arial" w:eastAsia="Arial" w:hAnsi="Arial" w:cs="Arial"/>
          <w:sz w:val="24"/>
          <w:szCs w:val="24"/>
          <w:lang w:val="en-US"/>
        </w:rPr>
        <w:t xml:space="preserve">, </w:t>
      </w:r>
      <w:r w:rsidR="00CE6682">
        <w:rPr>
          <w:rFonts w:ascii="Arial" w:eastAsia="Arial" w:hAnsi="Arial" w:cs="Arial"/>
          <w:sz w:val="24"/>
          <w:szCs w:val="24"/>
          <w:lang w:val="en-US"/>
        </w:rPr>
        <w:t>New York</w:t>
      </w:r>
      <w:r w:rsidR="00264A19" w:rsidRPr="00884B8E">
        <w:rPr>
          <w:rFonts w:ascii="Arial" w:eastAsia="Arial" w:hAnsi="Arial" w:cs="Arial"/>
          <w:sz w:val="24"/>
          <w:szCs w:val="24"/>
          <w:lang w:val="en-US"/>
        </w:rPr>
        <w:t xml:space="preserve">, </w:t>
      </w:r>
      <w:r w:rsidRPr="00884B8E">
        <w:rPr>
          <w:rFonts w:ascii="Arial" w:eastAsia="Arial" w:hAnsi="Arial" w:cs="Arial"/>
          <w:sz w:val="24"/>
          <w:szCs w:val="24"/>
          <w:lang w:val="en-US"/>
        </w:rPr>
        <w:t>v. 11, n. 1, 2019.</w:t>
      </w:r>
    </w:p>
    <w:p w14:paraId="4CBDDE64" w14:textId="63ACF570" w:rsidR="002A2CCD" w:rsidRPr="00884B8E" w:rsidRDefault="00897666" w:rsidP="00F2437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lang w:val="en-US"/>
        </w:rPr>
        <w:t>SCHWINDT-BAYER, Leslie A. Gender quotas and women's political participation in Latin America</w:t>
      </w:r>
      <w:r w:rsidRPr="00CE6682">
        <w:rPr>
          <w:rFonts w:ascii="Arial" w:eastAsia="Arial" w:hAnsi="Arial" w:cs="Arial"/>
          <w:sz w:val="24"/>
          <w:szCs w:val="24"/>
          <w:lang w:val="en-US"/>
        </w:rPr>
        <w:t xml:space="preserve">. </w:t>
      </w:r>
      <w:r w:rsidRPr="00884B8E">
        <w:rPr>
          <w:rFonts w:ascii="Arial" w:eastAsia="Arial" w:hAnsi="Arial" w:cs="Arial"/>
          <w:b/>
          <w:bCs/>
          <w:sz w:val="24"/>
          <w:szCs w:val="24"/>
        </w:rPr>
        <w:t>Comparative Politics</w:t>
      </w:r>
      <w:r w:rsidRPr="00884B8E">
        <w:rPr>
          <w:rFonts w:ascii="Arial" w:eastAsia="Arial" w:hAnsi="Arial" w:cs="Arial"/>
          <w:sz w:val="24"/>
          <w:szCs w:val="24"/>
        </w:rPr>
        <w:t xml:space="preserve">, </w:t>
      </w:r>
      <w:r w:rsidR="00CE6682">
        <w:rPr>
          <w:rFonts w:ascii="Arial" w:eastAsia="Arial" w:hAnsi="Arial" w:cs="Arial"/>
          <w:sz w:val="24"/>
          <w:szCs w:val="24"/>
        </w:rPr>
        <w:t>New York</w:t>
      </w:r>
      <w:r w:rsidR="00264A19" w:rsidRPr="00CE6682">
        <w:rPr>
          <w:rFonts w:ascii="Arial" w:eastAsia="Arial" w:hAnsi="Arial" w:cs="Arial"/>
          <w:sz w:val="24"/>
          <w:szCs w:val="24"/>
        </w:rPr>
        <w:t xml:space="preserve">, </w:t>
      </w:r>
      <w:r w:rsidRPr="00884B8E">
        <w:rPr>
          <w:rFonts w:ascii="Arial" w:eastAsia="Arial" w:hAnsi="Arial" w:cs="Arial"/>
          <w:sz w:val="24"/>
          <w:szCs w:val="24"/>
        </w:rPr>
        <w:t>v. 51, n. 1, 2018.</w:t>
      </w:r>
    </w:p>
    <w:p w14:paraId="4D25CFF8" w14:textId="0100B0A5" w:rsidR="008E7C3B" w:rsidRPr="00884B8E" w:rsidRDefault="008E7C3B" w:rsidP="00F2437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SOUZA, Mateus; ACCIOLY, Dante. Candidaturas femininas crescem, mas representação ainda é baixa. </w:t>
      </w:r>
      <w:r w:rsidRPr="00884B8E">
        <w:rPr>
          <w:rFonts w:ascii="Arial" w:eastAsia="Arial" w:hAnsi="Arial" w:cs="Arial"/>
          <w:b/>
          <w:bCs/>
          <w:sz w:val="24"/>
          <w:szCs w:val="24"/>
        </w:rPr>
        <w:t>Institucional Procuradoria Especial da Mulher</w:t>
      </w:r>
      <w:r w:rsidR="00264A19" w:rsidRPr="00884B8E">
        <w:rPr>
          <w:rFonts w:ascii="Arial" w:eastAsia="Arial" w:hAnsi="Arial" w:cs="Arial"/>
          <w:sz w:val="24"/>
          <w:szCs w:val="24"/>
        </w:rPr>
        <w:t xml:space="preserve">, </w:t>
      </w:r>
      <w:r w:rsidRPr="00884B8E">
        <w:rPr>
          <w:rFonts w:ascii="Arial" w:eastAsia="Arial" w:hAnsi="Arial" w:cs="Arial"/>
          <w:sz w:val="24"/>
          <w:szCs w:val="24"/>
        </w:rPr>
        <w:t>2022.</w:t>
      </w:r>
    </w:p>
    <w:p w14:paraId="2B098695" w14:textId="6EB63C87" w:rsidR="002A2CCD" w:rsidRPr="00884B8E" w:rsidRDefault="00897666" w:rsidP="00F24376">
      <w:pPr>
        <w:widowControl w:val="0"/>
        <w:spacing w:before="240" w:after="240" w:line="240" w:lineRule="auto"/>
        <w:jc w:val="both"/>
        <w:rPr>
          <w:rFonts w:ascii="Arial" w:eastAsia="Arial" w:hAnsi="Arial" w:cs="Arial"/>
          <w:sz w:val="24"/>
          <w:szCs w:val="24"/>
        </w:rPr>
      </w:pPr>
      <w:r w:rsidRPr="00884B8E">
        <w:rPr>
          <w:rFonts w:ascii="Arial" w:eastAsia="Arial" w:hAnsi="Arial" w:cs="Arial"/>
          <w:sz w:val="24"/>
          <w:szCs w:val="24"/>
        </w:rPr>
        <w:t xml:space="preserve">SPECK, Bruno W. Financiamento de campanhas no Brasil: novas regras, velhos desafios. </w:t>
      </w:r>
      <w:r w:rsidRPr="00884B8E">
        <w:rPr>
          <w:rFonts w:ascii="Arial" w:eastAsia="Arial" w:hAnsi="Arial" w:cs="Arial"/>
          <w:b/>
          <w:bCs/>
          <w:iCs/>
          <w:sz w:val="24"/>
          <w:szCs w:val="24"/>
        </w:rPr>
        <w:t>Revista Brasileira de Ciências Sociais</w:t>
      </w:r>
      <w:r w:rsidRPr="00884B8E">
        <w:rPr>
          <w:rFonts w:ascii="Arial" w:eastAsia="Arial" w:hAnsi="Arial" w:cs="Arial"/>
          <w:sz w:val="24"/>
          <w:szCs w:val="24"/>
        </w:rPr>
        <w:t xml:space="preserve">, </w:t>
      </w:r>
      <w:r w:rsidR="00A9576E">
        <w:rPr>
          <w:rFonts w:ascii="Arial" w:eastAsia="Arial" w:hAnsi="Arial" w:cs="Arial"/>
          <w:sz w:val="24"/>
          <w:szCs w:val="24"/>
        </w:rPr>
        <w:t>São Paulo-SP</w:t>
      </w:r>
      <w:r w:rsidR="00264A19" w:rsidRPr="00CE6682">
        <w:rPr>
          <w:rFonts w:ascii="Arial" w:eastAsia="Arial" w:hAnsi="Arial" w:cs="Arial"/>
          <w:sz w:val="24"/>
          <w:szCs w:val="24"/>
        </w:rPr>
        <w:t xml:space="preserve">, </w:t>
      </w:r>
      <w:r w:rsidRPr="00884B8E">
        <w:rPr>
          <w:rFonts w:ascii="Arial" w:eastAsia="Arial" w:hAnsi="Arial" w:cs="Arial"/>
          <w:sz w:val="24"/>
          <w:szCs w:val="24"/>
        </w:rPr>
        <w:t xml:space="preserve">v. 34, n. 101, 2019. </w:t>
      </w:r>
    </w:p>
    <w:p w14:paraId="277CDD52" w14:textId="51039F59" w:rsidR="002A2CCD" w:rsidRPr="00884B8E" w:rsidRDefault="00E37C15" w:rsidP="00F24376">
      <w:pPr>
        <w:widowControl w:val="0"/>
        <w:spacing w:before="240" w:after="240" w:line="240" w:lineRule="auto"/>
        <w:jc w:val="both"/>
        <w:rPr>
          <w:rFonts w:ascii="Arial" w:eastAsia="Arial" w:hAnsi="Arial" w:cs="Arial"/>
          <w:sz w:val="24"/>
          <w:szCs w:val="24"/>
        </w:rPr>
      </w:pPr>
      <w:r w:rsidRPr="00884B8E">
        <w:rPr>
          <w:rFonts w:ascii="Arial" w:eastAsia="Arial" w:hAnsi="Arial" w:cs="Arial"/>
          <w:iCs/>
          <w:sz w:val="24"/>
          <w:szCs w:val="24"/>
        </w:rPr>
        <w:t>TRIBUNAL SUPERIOR ELEITORAL</w:t>
      </w:r>
      <w:r w:rsidRPr="00884B8E">
        <w:rPr>
          <w:rFonts w:ascii="Arial" w:eastAsia="Arial" w:hAnsi="Arial" w:cs="Arial"/>
          <w:sz w:val="24"/>
          <w:szCs w:val="24"/>
        </w:rPr>
        <w:t xml:space="preserve"> </w:t>
      </w:r>
      <w:r w:rsidR="00264A19" w:rsidRPr="00884B8E">
        <w:rPr>
          <w:rFonts w:ascii="Arial" w:eastAsia="Arial" w:hAnsi="Arial" w:cs="Arial"/>
          <w:sz w:val="24"/>
          <w:szCs w:val="24"/>
        </w:rPr>
        <w:t>– TSE.</w:t>
      </w:r>
      <w:r w:rsidR="00897666" w:rsidRPr="00884B8E">
        <w:rPr>
          <w:rFonts w:ascii="Arial" w:eastAsia="Arial" w:hAnsi="Arial" w:cs="Arial"/>
          <w:sz w:val="24"/>
          <w:szCs w:val="24"/>
        </w:rPr>
        <w:t xml:space="preserve"> 2020. Disponível em: tse.jus.br. Acesso em: 12 mai</w:t>
      </w:r>
      <w:r w:rsidR="00264A19" w:rsidRPr="00884B8E">
        <w:rPr>
          <w:rFonts w:ascii="Arial" w:eastAsia="Arial" w:hAnsi="Arial" w:cs="Arial"/>
          <w:sz w:val="24"/>
          <w:szCs w:val="24"/>
        </w:rPr>
        <w:t>o</w:t>
      </w:r>
      <w:r w:rsidR="00897666" w:rsidRPr="00884B8E">
        <w:rPr>
          <w:rFonts w:ascii="Arial" w:eastAsia="Arial" w:hAnsi="Arial" w:cs="Arial"/>
          <w:sz w:val="24"/>
          <w:szCs w:val="24"/>
        </w:rPr>
        <w:t xml:space="preserve"> 2022.</w:t>
      </w:r>
    </w:p>
    <w:p w14:paraId="7C43486F" w14:textId="7221FD05" w:rsidR="002A2CCD" w:rsidRPr="00884B8E" w:rsidRDefault="00897666" w:rsidP="00F2437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WARD, Jessica; MCLOUGHLIN, Laura. Social media and the dynamics of women's political participation during the </w:t>
      </w:r>
      <w:r w:rsidR="0035498B" w:rsidRPr="00884B8E">
        <w:rPr>
          <w:rFonts w:ascii="Arial" w:eastAsia="Arial" w:hAnsi="Arial" w:cs="Arial"/>
          <w:sz w:val="24"/>
          <w:szCs w:val="24"/>
          <w:lang w:val="en-US"/>
        </w:rPr>
        <w:t>COVID-19</w:t>
      </w:r>
      <w:r w:rsidRPr="00884B8E">
        <w:rPr>
          <w:rFonts w:ascii="Arial" w:eastAsia="Arial" w:hAnsi="Arial" w:cs="Arial"/>
          <w:sz w:val="24"/>
          <w:szCs w:val="24"/>
          <w:lang w:val="en-US"/>
        </w:rPr>
        <w:t xml:space="preserve"> pandemic. </w:t>
      </w:r>
      <w:r w:rsidRPr="00884B8E">
        <w:rPr>
          <w:rFonts w:ascii="Arial" w:eastAsia="Arial" w:hAnsi="Arial" w:cs="Arial"/>
          <w:b/>
          <w:bCs/>
          <w:iCs/>
          <w:sz w:val="24"/>
          <w:szCs w:val="24"/>
          <w:lang w:val="en-US"/>
        </w:rPr>
        <w:t xml:space="preserve">Journal of </w:t>
      </w:r>
      <w:proofErr w:type="gramStart"/>
      <w:r w:rsidRPr="00884B8E">
        <w:rPr>
          <w:rFonts w:ascii="Arial" w:eastAsia="Arial" w:hAnsi="Arial" w:cs="Arial"/>
          <w:b/>
          <w:bCs/>
          <w:iCs/>
          <w:sz w:val="24"/>
          <w:szCs w:val="24"/>
          <w:lang w:val="en-US"/>
        </w:rPr>
        <w:t>Social Media Studies</w:t>
      </w:r>
      <w:proofErr w:type="gramEnd"/>
      <w:r w:rsidRPr="00884B8E">
        <w:rPr>
          <w:rFonts w:ascii="Arial" w:eastAsia="Arial" w:hAnsi="Arial" w:cs="Arial"/>
          <w:sz w:val="24"/>
          <w:szCs w:val="24"/>
          <w:lang w:val="en-US"/>
        </w:rPr>
        <w:t xml:space="preserve">, </w:t>
      </w:r>
      <w:r w:rsidR="00A9576E">
        <w:rPr>
          <w:rFonts w:ascii="Arial" w:eastAsia="Arial" w:hAnsi="Arial" w:cs="Arial"/>
          <w:sz w:val="24"/>
          <w:szCs w:val="24"/>
          <w:lang w:val="en-US"/>
        </w:rPr>
        <w:t>New York</w:t>
      </w:r>
      <w:r w:rsidR="00264A19" w:rsidRPr="00884B8E">
        <w:rPr>
          <w:rFonts w:ascii="Arial" w:eastAsia="Arial" w:hAnsi="Arial" w:cs="Arial"/>
          <w:sz w:val="24"/>
          <w:szCs w:val="24"/>
          <w:lang w:val="en-US"/>
        </w:rPr>
        <w:t xml:space="preserve">, </w:t>
      </w:r>
      <w:r w:rsidRPr="00884B8E">
        <w:rPr>
          <w:rFonts w:ascii="Arial" w:eastAsia="Arial" w:hAnsi="Arial" w:cs="Arial"/>
          <w:sz w:val="24"/>
          <w:szCs w:val="24"/>
          <w:lang w:val="en-US"/>
        </w:rPr>
        <w:t>v. 5, n. 3, 2020.</w:t>
      </w:r>
    </w:p>
    <w:p w14:paraId="3C3ECCA0" w14:textId="77777777" w:rsidR="002A2CCD" w:rsidRPr="00884B8E" w:rsidRDefault="00897666" w:rsidP="00F24376">
      <w:pPr>
        <w:widowControl w:val="0"/>
        <w:spacing w:before="240" w:after="24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WYLIE, Kristin. </w:t>
      </w:r>
      <w:r w:rsidRPr="00884B8E">
        <w:rPr>
          <w:rFonts w:ascii="Arial" w:eastAsia="Arial" w:hAnsi="Arial" w:cs="Arial"/>
          <w:b/>
          <w:bCs/>
          <w:iCs/>
          <w:sz w:val="24"/>
          <w:szCs w:val="24"/>
          <w:lang w:val="en-US"/>
        </w:rPr>
        <w:t>Party Institutionalization and Women's Representation in Brazil: Gender and Politics</w:t>
      </w:r>
      <w:r w:rsidRPr="00884B8E">
        <w:rPr>
          <w:rFonts w:ascii="Arial" w:eastAsia="Arial" w:hAnsi="Arial" w:cs="Arial"/>
          <w:sz w:val="24"/>
          <w:szCs w:val="24"/>
          <w:lang w:val="en-US"/>
        </w:rPr>
        <w:t>. Cambridge: Cambridge University Press, 2020.</w:t>
      </w:r>
    </w:p>
    <w:p w14:paraId="503CEB2B" w14:textId="77777777" w:rsidR="002A2CCD" w:rsidRPr="00884B8E" w:rsidRDefault="00897666" w:rsidP="00F24376">
      <w:pPr>
        <w:spacing w:after="0" w:line="240" w:lineRule="auto"/>
        <w:jc w:val="both"/>
        <w:rPr>
          <w:rFonts w:ascii="Arial" w:eastAsia="Arial" w:hAnsi="Arial" w:cs="Arial"/>
          <w:sz w:val="24"/>
          <w:szCs w:val="24"/>
          <w:lang w:val="en-US"/>
        </w:rPr>
      </w:pPr>
      <w:r w:rsidRPr="00884B8E">
        <w:rPr>
          <w:rFonts w:ascii="Arial" w:eastAsia="Arial" w:hAnsi="Arial" w:cs="Arial"/>
          <w:sz w:val="24"/>
          <w:szCs w:val="24"/>
          <w:lang w:val="en-US"/>
        </w:rPr>
        <w:t xml:space="preserve">YOUNG, Iris Marion. </w:t>
      </w:r>
      <w:r w:rsidRPr="00884B8E">
        <w:rPr>
          <w:rFonts w:ascii="Arial" w:eastAsia="Arial" w:hAnsi="Arial" w:cs="Arial"/>
          <w:b/>
          <w:bCs/>
          <w:iCs/>
          <w:sz w:val="24"/>
          <w:szCs w:val="24"/>
          <w:lang w:val="en-US"/>
        </w:rPr>
        <w:t>Inclusion and democracy</w:t>
      </w:r>
      <w:r w:rsidRPr="00884B8E">
        <w:rPr>
          <w:rFonts w:ascii="Arial" w:eastAsia="Arial" w:hAnsi="Arial" w:cs="Arial"/>
          <w:i/>
          <w:sz w:val="24"/>
          <w:szCs w:val="24"/>
          <w:lang w:val="en-US"/>
        </w:rPr>
        <w:t>.</w:t>
      </w:r>
      <w:r w:rsidRPr="00884B8E">
        <w:rPr>
          <w:rFonts w:ascii="Arial" w:eastAsia="Arial" w:hAnsi="Arial" w:cs="Arial"/>
          <w:sz w:val="24"/>
          <w:szCs w:val="24"/>
          <w:lang w:val="en-US"/>
        </w:rPr>
        <w:t xml:space="preserve"> Oxford; New York: Oxford University Press, 2000.</w:t>
      </w:r>
    </w:p>
    <w:p w14:paraId="4C16B0AE" w14:textId="77777777" w:rsidR="002A2CCD" w:rsidRPr="00884B8E" w:rsidRDefault="002A2CCD" w:rsidP="00F24376">
      <w:pPr>
        <w:spacing w:after="0" w:line="240" w:lineRule="auto"/>
        <w:jc w:val="both"/>
        <w:rPr>
          <w:rFonts w:ascii="Arial" w:eastAsia="Arial" w:hAnsi="Arial" w:cs="Arial"/>
          <w:sz w:val="24"/>
          <w:szCs w:val="24"/>
          <w:lang w:val="en-US"/>
        </w:rPr>
      </w:pPr>
    </w:p>
    <w:p w14:paraId="1D50C6AA" w14:textId="3315BFC8" w:rsidR="002A2CCD" w:rsidRPr="00884B8E" w:rsidRDefault="00897666" w:rsidP="00F24376">
      <w:pPr>
        <w:spacing w:line="240" w:lineRule="auto"/>
        <w:jc w:val="both"/>
        <w:rPr>
          <w:rFonts w:ascii="Arial" w:eastAsia="Arial" w:hAnsi="Arial" w:cs="Arial"/>
          <w:sz w:val="24"/>
          <w:szCs w:val="24"/>
        </w:rPr>
      </w:pPr>
      <w:r w:rsidRPr="00884B8E">
        <w:rPr>
          <w:rFonts w:ascii="Arial" w:eastAsia="Arial" w:hAnsi="Arial" w:cs="Arial"/>
          <w:sz w:val="24"/>
          <w:szCs w:val="24"/>
        </w:rPr>
        <w:t xml:space="preserve">ZAJDENWEBER, André; DIAS, Pâmela. </w:t>
      </w:r>
      <w:r w:rsidRPr="00A9576E">
        <w:rPr>
          <w:rFonts w:ascii="Arial" w:eastAsia="Arial" w:hAnsi="Arial" w:cs="Arial"/>
          <w:iCs/>
          <w:sz w:val="24"/>
          <w:szCs w:val="24"/>
        </w:rPr>
        <w:t>Representatividade de mulheres no parlamento brasileiro é a segunda menor do G20, indica IBGE</w:t>
      </w:r>
      <w:r w:rsidRPr="00884B8E">
        <w:rPr>
          <w:rFonts w:ascii="Arial" w:eastAsia="Arial" w:hAnsi="Arial" w:cs="Arial"/>
          <w:sz w:val="24"/>
          <w:szCs w:val="24"/>
        </w:rPr>
        <w:t xml:space="preserve">. </w:t>
      </w:r>
      <w:r w:rsidRPr="00A9576E">
        <w:rPr>
          <w:rFonts w:ascii="Arial" w:eastAsia="Arial" w:hAnsi="Arial" w:cs="Arial"/>
          <w:b/>
          <w:bCs/>
          <w:sz w:val="24"/>
          <w:szCs w:val="24"/>
        </w:rPr>
        <w:t>O Globo</w:t>
      </w:r>
      <w:r w:rsidRPr="00884B8E">
        <w:rPr>
          <w:rFonts w:ascii="Arial" w:eastAsia="Arial" w:hAnsi="Arial" w:cs="Arial"/>
          <w:sz w:val="24"/>
          <w:szCs w:val="24"/>
        </w:rPr>
        <w:t>, 2024. Disponível em: https://oglobo.globo.com/mundo/g20-no-brasil/noticia/2024/04/09/representatividade-de-mulheres-no-parlamento-brasileiro-e-a-segunda-menor-do-g20-indica-ibge.ghtml. Acesso em: 18 mai</w:t>
      </w:r>
      <w:r w:rsidR="00264A19" w:rsidRPr="00884B8E">
        <w:rPr>
          <w:rFonts w:ascii="Arial" w:eastAsia="Arial" w:hAnsi="Arial" w:cs="Arial"/>
          <w:sz w:val="24"/>
          <w:szCs w:val="24"/>
        </w:rPr>
        <w:t>o</w:t>
      </w:r>
      <w:r w:rsidRPr="00884B8E">
        <w:rPr>
          <w:rFonts w:ascii="Arial" w:eastAsia="Arial" w:hAnsi="Arial" w:cs="Arial"/>
          <w:sz w:val="24"/>
          <w:szCs w:val="24"/>
        </w:rPr>
        <w:t xml:space="preserve"> 2024.</w:t>
      </w:r>
    </w:p>
    <w:p w14:paraId="3EE21D7B" w14:textId="7ED05834" w:rsidR="002A2CCD" w:rsidRDefault="002A2CCD" w:rsidP="00F24376">
      <w:pPr>
        <w:spacing w:line="240" w:lineRule="auto"/>
        <w:jc w:val="both"/>
        <w:rPr>
          <w:rFonts w:ascii="Arial" w:eastAsia="Arial" w:hAnsi="Arial" w:cs="Arial"/>
          <w:sz w:val="24"/>
          <w:szCs w:val="24"/>
        </w:rPr>
      </w:pPr>
    </w:p>
    <w:p w14:paraId="19D4BEE6" w14:textId="77777777" w:rsidR="00086D51" w:rsidRPr="00884B8E" w:rsidRDefault="00086D51" w:rsidP="00F24376">
      <w:pPr>
        <w:spacing w:line="240" w:lineRule="auto"/>
        <w:jc w:val="both"/>
        <w:rPr>
          <w:rFonts w:ascii="Arial" w:eastAsia="Arial" w:hAnsi="Arial" w:cs="Arial"/>
          <w:sz w:val="24"/>
          <w:szCs w:val="24"/>
        </w:rPr>
      </w:pPr>
    </w:p>
    <w:sectPr w:rsidR="00086D51" w:rsidRPr="00884B8E" w:rsidSect="00E92F0C">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07B6" w14:textId="77777777" w:rsidR="006A1276" w:rsidRPr="005D7B6A" w:rsidRDefault="006A1276">
      <w:pPr>
        <w:spacing w:after="0" w:line="240" w:lineRule="auto"/>
      </w:pPr>
      <w:r w:rsidRPr="005D7B6A">
        <w:separator/>
      </w:r>
    </w:p>
  </w:endnote>
  <w:endnote w:type="continuationSeparator" w:id="0">
    <w:p w14:paraId="4FF36CE0" w14:textId="77777777" w:rsidR="006A1276" w:rsidRPr="005D7B6A" w:rsidRDefault="006A1276">
      <w:pPr>
        <w:spacing w:after="0" w:line="240" w:lineRule="auto"/>
      </w:pPr>
      <w:r w:rsidRPr="005D7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7336" w14:textId="77777777" w:rsidR="006A1276" w:rsidRPr="005D7B6A" w:rsidRDefault="006A1276">
      <w:pPr>
        <w:spacing w:after="0" w:line="240" w:lineRule="auto"/>
      </w:pPr>
      <w:r w:rsidRPr="005D7B6A">
        <w:separator/>
      </w:r>
    </w:p>
  </w:footnote>
  <w:footnote w:type="continuationSeparator" w:id="0">
    <w:p w14:paraId="22B598E3" w14:textId="77777777" w:rsidR="006A1276" w:rsidRPr="005D7B6A" w:rsidRDefault="006A1276">
      <w:pPr>
        <w:spacing w:after="0" w:line="240" w:lineRule="auto"/>
      </w:pPr>
      <w:r w:rsidRPr="005D7B6A">
        <w:continuationSeparator/>
      </w:r>
    </w:p>
  </w:footnote>
  <w:footnote w:id="1">
    <w:p w14:paraId="409F4D76" w14:textId="70C7D1D5" w:rsidR="00A9576E" w:rsidRPr="00271EDD" w:rsidRDefault="00A9576E" w:rsidP="00C56DCA">
      <w:pPr>
        <w:pStyle w:val="Textodenotaderodap"/>
        <w:jc w:val="both"/>
        <w:rPr>
          <w:rFonts w:ascii="Arial" w:hAnsi="Arial" w:cs="Arial"/>
          <w:color w:val="000000" w:themeColor="text1"/>
        </w:rPr>
      </w:pPr>
      <w:r w:rsidRPr="00271EDD">
        <w:rPr>
          <w:rStyle w:val="Refdenotaderodap"/>
          <w:rFonts w:ascii="Arial" w:hAnsi="Arial" w:cs="Arial"/>
          <w:color w:val="000000" w:themeColor="text1"/>
        </w:rPr>
        <w:footnoteRef/>
      </w:r>
      <w:r w:rsidRPr="00271EDD">
        <w:rPr>
          <w:rFonts w:ascii="Arial" w:hAnsi="Arial" w:cs="Arial"/>
          <w:color w:val="000000" w:themeColor="text1"/>
        </w:rPr>
        <w:t xml:space="preserve"> Doutorando em Ciência Política pela Universidade Federal de São Carlos (UFSCar). E-mail: </w:t>
      </w:r>
      <w:r w:rsidR="00C56DCA" w:rsidRPr="00271EDD">
        <w:rPr>
          <w:rFonts w:ascii="Arial" w:hAnsi="Arial" w:cs="Arial"/>
          <w:color w:val="000000" w:themeColor="text1"/>
          <w:shd w:val="clear" w:color="auto" w:fill="FFFFFF"/>
        </w:rPr>
        <w:t>bruno.alcant.conde@gmail.com</w:t>
      </w:r>
      <w:r w:rsidR="00943DA4">
        <w:rPr>
          <w:rFonts w:ascii="Arial" w:hAnsi="Arial" w:cs="Arial"/>
          <w:color w:val="000000" w:themeColor="text1"/>
          <w:shd w:val="clear" w:color="auto" w:fill="FFFFFF"/>
        </w:rPr>
        <w:t>.</w:t>
      </w:r>
    </w:p>
  </w:footnote>
  <w:footnote w:id="2">
    <w:p w14:paraId="64542B40" w14:textId="18543026" w:rsidR="00A9576E" w:rsidRPr="00271EDD" w:rsidRDefault="00A9576E" w:rsidP="00C56DCA">
      <w:pPr>
        <w:pStyle w:val="Textodenotaderodap"/>
        <w:jc w:val="both"/>
        <w:rPr>
          <w:rFonts w:ascii="Arial" w:hAnsi="Arial" w:cs="Arial"/>
          <w:color w:val="000000" w:themeColor="text1"/>
        </w:rPr>
      </w:pPr>
      <w:r w:rsidRPr="00271EDD">
        <w:rPr>
          <w:rStyle w:val="Refdenotaderodap"/>
          <w:rFonts w:ascii="Arial" w:hAnsi="Arial" w:cs="Arial"/>
          <w:color w:val="000000" w:themeColor="text1"/>
        </w:rPr>
        <w:footnoteRef/>
      </w:r>
      <w:r w:rsidRPr="00271EDD">
        <w:rPr>
          <w:rFonts w:ascii="Arial" w:hAnsi="Arial" w:cs="Arial"/>
          <w:color w:val="000000" w:themeColor="text1"/>
        </w:rPr>
        <w:t xml:space="preserve"> Mestrando em Ciência Política pela Universidade Federal do Piauí (UFPI)</w:t>
      </w:r>
      <w:r w:rsidR="00C56DCA" w:rsidRPr="00271EDD">
        <w:rPr>
          <w:rFonts w:ascii="Arial" w:hAnsi="Arial" w:cs="Arial"/>
          <w:color w:val="000000" w:themeColor="text1"/>
        </w:rPr>
        <w:t xml:space="preserve">. E-mail: </w:t>
      </w:r>
      <w:r w:rsidR="00C56DCA" w:rsidRPr="00271EDD">
        <w:rPr>
          <w:rFonts w:ascii="Arial" w:hAnsi="Arial" w:cs="Arial"/>
          <w:color w:val="000000" w:themeColor="text1"/>
          <w:shd w:val="clear" w:color="auto" w:fill="FFFFFF"/>
        </w:rPr>
        <w:t>josediogolima59@gmail.com</w:t>
      </w:r>
      <w:r w:rsidR="00943DA4">
        <w:rPr>
          <w:rFonts w:ascii="Arial" w:hAnsi="Arial" w:cs="Arial"/>
          <w:color w:val="000000" w:themeColor="text1"/>
          <w:shd w:val="clear" w:color="auto" w:fill="FFFFFF"/>
        </w:rPr>
        <w:t>.</w:t>
      </w:r>
    </w:p>
  </w:footnote>
  <w:footnote w:id="3">
    <w:p w14:paraId="124F67B0" w14:textId="46A73976" w:rsidR="00C56DCA" w:rsidRPr="00C56DCA" w:rsidRDefault="00C56DCA" w:rsidP="00C56DCA">
      <w:pPr>
        <w:pStyle w:val="Textodenotaderodap"/>
        <w:jc w:val="both"/>
        <w:rPr>
          <w:rFonts w:ascii="Arial" w:hAnsi="Arial" w:cs="Arial"/>
        </w:rPr>
      </w:pPr>
      <w:r w:rsidRPr="00271EDD">
        <w:rPr>
          <w:rStyle w:val="Refdenotaderodap"/>
          <w:rFonts w:ascii="Arial" w:hAnsi="Arial" w:cs="Arial"/>
          <w:color w:val="000000" w:themeColor="text1"/>
        </w:rPr>
        <w:footnoteRef/>
      </w:r>
      <w:r w:rsidRPr="00271EDD">
        <w:rPr>
          <w:rFonts w:ascii="Arial" w:hAnsi="Arial" w:cs="Arial"/>
          <w:color w:val="000000" w:themeColor="text1"/>
        </w:rPr>
        <w:t xml:space="preserve"> Bacharel em Ciência Política pela Universidade Federal do Piauí (UFPI). E-mail: </w:t>
      </w:r>
      <w:r w:rsidRPr="00271EDD">
        <w:rPr>
          <w:rFonts w:ascii="Arial" w:hAnsi="Arial" w:cs="Arial"/>
          <w:color w:val="000000" w:themeColor="text1"/>
          <w:shd w:val="clear" w:color="auto" w:fill="FFFFFF"/>
        </w:rPr>
        <w:t>rafaelbarrossampaio33@gmail.com</w:t>
      </w:r>
      <w:r w:rsidR="00943DA4">
        <w:rPr>
          <w:rFonts w:ascii="Arial" w:hAnsi="Arial" w:cs="Arial"/>
          <w:color w:val="000000" w:themeColor="text1"/>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CD"/>
    <w:rsid w:val="00015269"/>
    <w:rsid w:val="000209C3"/>
    <w:rsid w:val="00086D51"/>
    <w:rsid w:val="000A21B1"/>
    <w:rsid w:val="000B0D84"/>
    <w:rsid w:val="000E6698"/>
    <w:rsid w:val="000F56B6"/>
    <w:rsid w:val="001062CB"/>
    <w:rsid w:val="0014712B"/>
    <w:rsid w:val="00166DAA"/>
    <w:rsid w:val="001A59B5"/>
    <w:rsid w:val="001D777E"/>
    <w:rsid w:val="00201045"/>
    <w:rsid w:val="002015F1"/>
    <w:rsid w:val="00201CAC"/>
    <w:rsid w:val="00211F1E"/>
    <w:rsid w:val="00220135"/>
    <w:rsid w:val="00226A3D"/>
    <w:rsid w:val="00253992"/>
    <w:rsid w:val="00264A19"/>
    <w:rsid w:val="00271EDD"/>
    <w:rsid w:val="0027504C"/>
    <w:rsid w:val="002824D0"/>
    <w:rsid w:val="00282D03"/>
    <w:rsid w:val="002A2CCD"/>
    <w:rsid w:val="003023AF"/>
    <w:rsid w:val="00324680"/>
    <w:rsid w:val="0035498B"/>
    <w:rsid w:val="003565E1"/>
    <w:rsid w:val="003941B7"/>
    <w:rsid w:val="003952C3"/>
    <w:rsid w:val="004A46CD"/>
    <w:rsid w:val="004C489D"/>
    <w:rsid w:val="004C4E68"/>
    <w:rsid w:val="004D6E98"/>
    <w:rsid w:val="004E2FE4"/>
    <w:rsid w:val="004F1F26"/>
    <w:rsid w:val="00504435"/>
    <w:rsid w:val="00506497"/>
    <w:rsid w:val="005159A5"/>
    <w:rsid w:val="0053111D"/>
    <w:rsid w:val="005343BB"/>
    <w:rsid w:val="00576547"/>
    <w:rsid w:val="005A33DD"/>
    <w:rsid w:val="005A4B29"/>
    <w:rsid w:val="005A6D01"/>
    <w:rsid w:val="005B3F4C"/>
    <w:rsid w:val="005B556E"/>
    <w:rsid w:val="005B5D10"/>
    <w:rsid w:val="005D7B6A"/>
    <w:rsid w:val="0061595C"/>
    <w:rsid w:val="0062438C"/>
    <w:rsid w:val="00634F8F"/>
    <w:rsid w:val="00671D2A"/>
    <w:rsid w:val="00696C7F"/>
    <w:rsid w:val="006A1276"/>
    <w:rsid w:val="006A44F9"/>
    <w:rsid w:val="006D51E5"/>
    <w:rsid w:val="006E1AB6"/>
    <w:rsid w:val="006E3BAF"/>
    <w:rsid w:val="00720BC2"/>
    <w:rsid w:val="00755CE2"/>
    <w:rsid w:val="007B2109"/>
    <w:rsid w:val="007F046E"/>
    <w:rsid w:val="007F39F7"/>
    <w:rsid w:val="007F5931"/>
    <w:rsid w:val="00804258"/>
    <w:rsid w:val="00806F08"/>
    <w:rsid w:val="00823A9F"/>
    <w:rsid w:val="00827700"/>
    <w:rsid w:val="00844D08"/>
    <w:rsid w:val="00851CFC"/>
    <w:rsid w:val="008639F6"/>
    <w:rsid w:val="00864E05"/>
    <w:rsid w:val="00875D7F"/>
    <w:rsid w:val="00884B8E"/>
    <w:rsid w:val="008856CC"/>
    <w:rsid w:val="008909E9"/>
    <w:rsid w:val="00897666"/>
    <w:rsid w:val="008A36F4"/>
    <w:rsid w:val="008C0B6E"/>
    <w:rsid w:val="008E17DE"/>
    <w:rsid w:val="008E7C3B"/>
    <w:rsid w:val="008F6498"/>
    <w:rsid w:val="00925D20"/>
    <w:rsid w:val="00943DA4"/>
    <w:rsid w:val="00944CC0"/>
    <w:rsid w:val="00975F3E"/>
    <w:rsid w:val="00983543"/>
    <w:rsid w:val="009F71D5"/>
    <w:rsid w:val="00A16658"/>
    <w:rsid w:val="00A9576E"/>
    <w:rsid w:val="00AA1813"/>
    <w:rsid w:val="00AB6E53"/>
    <w:rsid w:val="00B053A0"/>
    <w:rsid w:val="00B3569C"/>
    <w:rsid w:val="00B359B4"/>
    <w:rsid w:val="00B5276A"/>
    <w:rsid w:val="00B558AE"/>
    <w:rsid w:val="00B81FF7"/>
    <w:rsid w:val="00BA5373"/>
    <w:rsid w:val="00BB5ACF"/>
    <w:rsid w:val="00BC3D88"/>
    <w:rsid w:val="00BD352C"/>
    <w:rsid w:val="00BE091D"/>
    <w:rsid w:val="00C210AB"/>
    <w:rsid w:val="00C56DCA"/>
    <w:rsid w:val="00C670F1"/>
    <w:rsid w:val="00C6715E"/>
    <w:rsid w:val="00CB5EAC"/>
    <w:rsid w:val="00CE6682"/>
    <w:rsid w:val="00CF2FEF"/>
    <w:rsid w:val="00CF62F8"/>
    <w:rsid w:val="00D10BA1"/>
    <w:rsid w:val="00D1178C"/>
    <w:rsid w:val="00D64194"/>
    <w:rsid w:val="00D75D20"/>
    <w:rsid w:val="00D82A6D"/>
    <w:rsid w:val="00E37C15"/>
    <w:rsid w:val="00E7028D"/>
    <w:rsid w:val="00E92F0C"/>
    <w:rsid w:val="00F24376"/>
    <w:rsid w:val="00F43226"/>
    <w:rsid w:val="00F46FB2"/>
    <w:rsid w:val="00F646EF"/>
    <w:rsid w:val="00F710DD"/>
    <w:rsid w:val="00F774CD"/>
    <w:rsid w:val="00FA4449"/>
    <w:rsid w:val="00FD6915"/>
    <w:rsid w:val="00FE5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2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link w:val="Ttulo1Char"/>
    <w:uiPriority w:val="9"/>
    <w:qFormat/>
    <w:rsid w:val="00AA7A33"/>
    <w:pPr>
      <w:widowControl w:val="0"/>
      <w:autoSpaceDE w:val="0"/>
      <w:autoSpaceDN w:val="0"/>
      <w:spacing w:before="102" w:after="0" w:line="240" w:lineRule="auto"/>
      <w:ind w:left="226" w:right="256"/>
      <w:jc w:val="center"/>
      <w:outlineLvl w:val="0"/>
    </w:pPr>
    <w:rPr>
      <w:rFonts w:ascii="Times New Roman" w:eastAsia="Times New Roman" w:hAnsi="Times New Roman" w:cs="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81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A7A33"/>
    <w:rPr>
      <w:rFonts w:ascii="Times New Roman" w:eastAsia="Times New Roman" w:hAnsi="Times New Roman" w:cs="Times New Roman"/>
      <w:b/>
      <w:bCs/>
      <w:sz w:val="24"/>
      <w:szCs w:val="24"/>
      <w:lang w:val="pt-PT"/>
    </w:rPr>
  </w:style>
  <w:style w:type="table" w:customStyle="1" w:styleId="TableNormal1">
    <w:name w:val="Table Normal"/>
    <w:uiPriority w:val="2"/>
    <w:semiHidden/>
    <w:unhideWhenUsed/>
    <w:qFormat/>
    <w:rsid w:val="00AA7A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AA7A33"/>
    <w:pPr>
      <w:widowControl w:val="0"/>
      <w:autoSpaceDE w:val="0"/>
      <w:autoSpaceDN w:val="0"/>
      <w:spacing w:before="137" w:after="0" w:line="240" w:lineRule="auto"/>
      <w:ind w:left="142"/>
    </w:pPr>
    <w:rPr>
      <w:rFonts w:ascii="Times New Roman" w:eastAsia="Times New Roman" w:hAnsi="Times New Roman" w:cs="Times New Roman"/>
      <w:b/>
      <w:bCs/>
      <w:sz w:val="24"/>
      <w:szCs w:val="24"/>
    </w:rPr>
  </w:style>
  <w:style w:type="paragraph" w:styleId="Corpodetexto">
    <w:name w:val="Body Text"/>
    <w:basedOn w:val="Normal"/>
    <w:link w:val="CorpodetextoChar"/>
    <w:uiPriority w:val="1"/>
    <w:qFormat/>
    <w:rsid w:val="00AA7A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AA7A33"/>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AA7A33"/>
    <w:pPr>
      <w:widowControl w:val="0"/>
      <w:autoSpaceDE w:val="0"/>
      <w:autoSpaceDN w:val="0"/>
      <w:spacing w:before="102" w:after="0" w:line="240" w:lineRule="auto"/>
      <w:ind w:left="322"/>
    </w:pPr>
    <w:rPr>
      <w:rFonts w:ascii="Times New Roman" w:eastAsia="Times New Roman" w:hAnsi="Times New Roman" w:cs="Times New Roman"/>
    </w:rPr>
  </w:style>
  <w:style w:type="paragraph" w:customStyle="1" w:styleId="TableParagraph">
    <w:name w:val="Table Paragraph"/>
    <w:basedOn w:val="Normal"/>
    <w:uiPriority w:val="1"/>
    <w:qFormat/>
    <w:rsid w:val="00AA7A33"/>
    <w:pPr>
      <w:widowControl w:val="0"/>
      <w:autoSpaceDE w:val="0"/>
      <w:autoSpaceDN w:val="0"/>
      <w:spacing w:after="0" w:line="240" w:lineRule="auto"/>
    </w:pPr>
    <w:rPr>
      <w:rFonts w:ascii="Times New Roman" w:eastAsia="Times New Roman" w:hAnsi="Times New Roman" w:cs="Times New Roman"/>
    </w:rPr>
  </w:style>
  <w:style w:type="paragraph" w:styleId="Cabealho">
    <w:name w:val="header"/>
    <w:basedOn w:val="Normal"/>
    <w:link w:val="CabealhoChar"/>
    <w:uiPriority w:val="99"/>
    <w:unhideWhenUsed/>
    <w:rsid w:val="000A45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456B"/>
  </w:style>
  <w:style w:type="paragraph" w:styleId="Rodap">
    <w:name w:val="footer"/>
    <w:basedOn w:val="Normal"/>
    <w:link w:val="RodapChar"/>
    <w:uiPriority w:val="99"/>
    <w:unhideWhenUsed/>
    <w:rsid w:val="000A456B"/>
    <w:pPr>
      <w:tabs>
        <w:tab w:val="center" w:pos="4252"/>
        <w:tab w:val="right" w:pos="8504"/>
      </w:tabs>
      <w:spacing w:after="0" w:line="240" w:lineRule="auto"/>
    </w:pPr>
  </w:style>
  <w:style w:type="character" w:customStyle="1" w:styleId="RodapChar">
    <w:name w:val="Rodapé Char"/>
    <w:basedOn w:val="Fontepargpadro"/>
    <w:link w:val="Rodap"/>
    <w:uiPriority w:val="99"/>
    <w:rsid w:val="000A456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paragraph" w:styleId="Textodenotaderodap">
    <w:name w:val="footnote text"/>
    <w:basedOn w:val="Normal"/>
    <w:link w:val="TextodenotaderodapChar"/>
    <w:uiPriority w:val="99"/>
    <w:semiHidden/>
    <w:unhideWhenUsed/>
    <w:rsid w:val="00D054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54F0"/>
    <w:rPr>
      <w:sz w:val="20"/>
      <w:szCs w:val="20"/>
    </w:rPr>
  </w:style>
  <w:style w:type="character" w:styleId="Refdenotaderodap">
    <w:name w:val="footnote reference"/>
    <w:basedOn w:val="Fontepargpadro"/>
    <w:uiPriority w:val="99"/>
    <w:semiHidden/>
    <w:unhideWhenUsed/>
    <w:rsid w:val="00D054F0"/>
    <w:rPr>
      <w:vertAlign w:val="superscript"/>
    </w:rPr>
  </w:style>
  <w:style w:type="table" w:customStyle="1" w:styleId="a7">
    <w:basedOn w:val="TableNormal0"/>
    <w:pPr>
      <w:widowControl w:val="0"/>
      <w:spacing w:after="0" w:line="240" w:lineRule="auto"/>
    </w:pPr>
    <w:tblPr>
      <w:tblStyleRowBandSize w:val="1"/>
      <w:tblStyleColBandSize w:val="1"/>
    </w:tblPr>
  </w:style>
  <w:style w:type="table" w:customStyle="1" w:styleId="a8">
    <w:basedOn w:val="TableNormal0"/>
    <w:pPr>
      <w:widowControl w:val="0"/>
      <w:spacing w:after="0" w:line="240" w:lineRule="auto"/>
    </w:pPr>
    <w:tblPr>
      <w:tblStyleRowBandSize w:val="1"/>
      <w:tblStyleColBandSize w:val="1"/>
    </w:tblPr>
  </w:style>
  <w:style w:type="table" w:customStyle="1" w:styleId="a9">
    <w:basedOn w:val="TableNormal0"/>
    <w:pPr>
      <w:widowControl w:val="0"/>
      <w:spacing w:after="0" w:line="240" w:lineRule="auto"/>
    </w:pPr>
    <w:tblPr>
      <w:tblStyleRowBandSize w:val="1"/>
      <w:tblStyleColBandSize w:val="1"/>
    </w:tblPr>
  </w:style>
  <w:style w:type="table" w:customStyle="1" w:styleId="aa">
    <w:basedOn w:val="TableNormal0"/>
    <w:pPr>
      <w:widowControl w:val="0"/>
      <w:spacing w:after="0" w:line="240" w:lineRule="auto"/>
    </w:pPr>
    <w:tblPr>
      <w:tblStyleRowBandSize w:val="1"/>
      <w:tblStyleColBandSize w:val="1"/>
    </w:tblPr>
  </w:style>
  <w:style w:type="table" w:customStyle="1" w:styleId="ab">
    <w:basedOn w:val="TableNormal0"/>
    <w:pPr>
      <w:widowControl w:val="0"/>
      <w:spacing w:after="0" w:line="240" w:lineRule="auto"/>
    </w:pPr>
    <w:tblPr>
      <w:tblStyleRowBandSize w:val="1"/>
      <w:tblStyleColBandSize w:val="1"/>
    </w:tblPr>
  </w:style>
  <w:style w:type="table" w:customStyle="1" w:styleId="ac">
    <w:basedOn w:val="TableNormal0"/>
    <w:pPr>
      <w:widowControl w:val="0"/>
      <w:spacing w:after="0" w:line="240" w:lineRule="auto"/>
    </w:pPr>
    <w:tblPr>
      <w:tblStyleRowBandSize w:val="1"/>
      <w:tblStyleColBandSize w:val="1"/>
    </w:tblPr>
  </w:style>
  <w:style w:type="table" w:customStyle="1" w:styleId="ad">
    <w:basedOn w:val="TableNormal0"/>
    <w:pPr>
      <w:widowControl w:val="0"/>
      <w:spacing w:after="0" w:line="240" w:lineRule="auto"/>
    </w:pPr>
    <w:tblPr>
      <w:tblStyleRowBandSize w:val="1"/>
      <w:tblStyleColBandSize w:val="1"/>
    </w:tblPr>
  </w:style>
  <w:style w:type="table" w:customStyle="1" w:styleId="ae">
    <w:basedOn w:val="TableNormal0"/>
    <w:pPr>
      <w:widowControl w:val="0"/>
      <w:spacing w:after="0" w:line="240" w:lineRule="auto"/>
    </w:pPr>
    <w:tblPr>
      <w:tblStyleRowBandSize w:val="1"/>
      <w:tblStyleColBandSize w:val="1"/>
    </w:tblPr>
  </w:style>
  <w:style w:type="paragraph" w:styleId="NormalWeb">
    <w:name w:val="Normal (Web)"/>
    <w:basedOn w:val="Normal"/>
    <w:uiPriority w:val="99"/>
    <w:unhideWhenUsed/>
    <w:rsid w:val="001062CB"/>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BE091D"/>
    <w:pPr>
      <w:spacing w:after="0" w:line="240" w:lineRule="auto"/>
    </w:pPr>
  </w:style>
  <w:style w:type="character" w:styleId="Hyperlink">
    <w:name w:val="Hyperlink"/>
    <w:basedOn w:val="Fontepargpadro"/>
    <w:uiPriority w:val="99"/>
    <w:unhideWhenUsed/>
    <w:rsid w:val="007F5931"/>
    <w:rPr>
      <w:color w:val="0563C1" w:themeColor="hyperlink"/>
      <w:u w:val="single"/>
    </w:rPr>
  </w:style>
  <w:style w:type="character" w:styleId="MenoPendente">
    <w:name w:val="Unresolved Mention"/>
    <w:basedOn w:val="Fontepargpadro"/>
    <w:uiPriority w:val="99"/>
    <w:semiHidden/>
    <w:unhideWhenUsed/>
    <w:rsid w:val="007F5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52871">
      <w:bodyDiv w:val="1"/>
      <w:marLeft w:val="0"/>
      <w:marRight w:val="0"/>
      <w:marTop w:val="0"/>
      <w:marBottom w:val="0"/>
      <w:divBdr>
        <w:top w:val="none" w:sz="0" w:space="0" w:color="auto"/>
        <w:left w:val="none" w:sz="0" w:space="0" w:color="auto"/>
        <w:bottom w:val="none" w:sz="0" w:space="0" w:color="auto"/>
        <w:right w:val="none" w:sz="0" w:space="0" w:color="auto"/>
      </w:divBdr>
      <w:divsChild>
        <w:div w:id="1929729820">
          <w:marLeft w:val="0"/>
          <w:marRight w:val="0"/>
          <w:marTop w:val="0"/>
          <w:marBottom w:val="0"/>
          <w:divBdr>
            <w:top w:val="none" w:sz="0" w:space="0" w:color="auto"/>
            <w:left w:val="none" w:sz="0" w:space="0" w:color="auto"/>
            <w:bottom w:val="none" w:sz="0" w:space="0" w:color="auto"/>
            <w:right w:val="none" w:sz="0" w:space="0" w:color="auto"/>
          </w:divBdr>
          <w:divsChild>
            <w:div w:id="1696687888">
              <w:marLeft w:val="0"/>
              <w:marRight w:val="0"/>
              <w:marTop w:val="0"/>
              <w:marBottom w:val="0"/>
              <w:divBdr>
                <w:top w:val="none" w:sz="0" w:space="0" w:color="auto"/>
                <w:left w:val="none" w:sz="0" w:space="0" w:color="auto"/>
                <w:bottom w:val="none" w:sz="0" w:space="0" w:color="auto"/>
                <w:right w:val="none" w:sz="0" w:space="0" w:color="auto"/>
              </w:divBdr>
              <w:divsChild>
                <w:div w:id="121730509">
                  <w:marLeft w:val="0"/>
                  <w:marRight w:val="0"/>
                  <w:marTop w:val="0"/>
                  <w:marBottom w:val="0"/>
                  <w:divBdr>
                    <w:top w:val="none" w:sz="0" w:space="0" w:color="auto"/>
                    <w:left w:val="none" w:sz="0" w:space="0" w:color="auto"/>
                    <w:bottom w:val="none" w:sz="0" w:space="0" w:color="auto"/>
                    <w:right w:val="none" w:sz="0" w:space="0" w:color="auto"/>
                  </w:divBdr>
                  <w:divsChild>
                    <w:div w:id="603224556">
                      <w:marLeft w:val="0"/>
                      <w:marRight w:val="0"/>
                      <w:marTop w:val="0"/>
                      <w:marBottom w:val="0"/>
                      <w:divBdr>
                        <w:top w:val="none" w:sz="0" w:space="0" w:color="auto"/>
                        <w:left w:val="none" w:sz="0" w:space="0" w:color="auto"/>
                        <w:bottom w:val="none" w:sz="0" w:space="0" w:color="auto"/>
                        <w:right w:val="none" w:sz="0" w:space="0" w:color="auto"/>
                      </w:divBdr>
                      <w:divsChild>
                        <w:div w:id="1015424651">
                          <w:marLeft w:val="0"/>
                          <w:marRight w:val="0"/>
                          <w:marTop w:val="0"/>
                          <w:marBottom w:val="0"/>
                          <w:divBdr>
                            <w:top w:val="none" w:sz="0" w:space="0" w:color="auto"/>
                            <w:left w:val="none" w:sz="0" w:space="0" w:color="auto"/>
                            <w:bottom w:val="none" w:sz="0" w:space="0" w:color="auto"/>
                            <w:right w:val="none" w:sz="0" w:space="0" w:color="auto"/>
                          </w:divBdr>
                          <w:divsChild>
                            <w:div w:id="146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FN239R787e8FP66Kf1KXD4iQ==">CgMxLjAyCGguZ2pkZ3hzMgloLjMwajB6bGwyCWguMWZvYjl0ZTIJaC4zem55c2g3MgloLjJldDkycDAyCGgudHlqY3d0MgloLjNkeTZ2a20yCWguMXQzaDVzZjIJaC40ZDM0b2c4OABqKAoUc3VnZ2VzdC5xMDhpNGpub3RyZTgSEEJydW5vIEFsY8OibnRhcmFqJwoTc3VnZ2VzdC54cHhoeW4xd2Y5ZhIQQnJ1bm8gQWxjw6JudGFyYWooChRzdWdnZXN0LnR2NDRmNjRxeDE5dRIQQnJ1bm8gQWxjw6JudGFyYWooChRzdWdnZXN0LmJ2MzZvemZkbWw3bhIQQnJ1bm8gQWxjw6JudGFyYXIhMVVreWdxbmhydWduSnVmTVFMOWZ3elNJNHFOZzZyanBY</go:docsCustomData>
</go:gDocsCustomXmlDataStorage>
</file>

<file path=customXml/itemProps1.xml><?xml version="1.0" encoding="utf-8"?>
<ds:datastoreItem xmlns:ds="http://schemas.openxmlformats.org/officeDocument/2006/customXml" ds:itemID="{1FF95093-6373-4A2B-90F4-A98BE9382E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6573</Words>
  <Characters>35497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2024-11-19T14:04:00Z</dcterms:created>
  <dcterms:modified xsi:type="dcterms:W3CDTF">2024-11-22T18:36:00Z</dcterms:modified>
</cp:coreProperties>
</file>